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A0" w:firstRow="1" w:lastRow="0" w:firstColumn="1" w:lastColumn="0" w:noHBand="0" w:noVBand="0"/>
      </w:tblPr>
      <w:tblGrid>
        <w:gridCol w:w="9576"/>
      </w:tblGrid>
      <w:tr w:rsidR="00A04ECD" w:rsidRPr="008E53B0">
        <w:trPr>
          <w:trHeight w:val="2880"/>
          <w:jc w:val="center"/>
        </w:trPr>
        <w:tc>
          <w:tcPr>
            <w:tcW w:w="5000" w:type="pct"/>
          </w:tcPr>
          <w:p w:rsidR="00A04ECD" w:rsidRDefault="00A04ECD" w:rsidP="004128AB">
            <w:pPr>
              <w:pStyle w:val="NoSpacing"/>
              <w:jc w:val="center"/>
              <w:rPr>
                <w:rFonts w:ascii="Cambria" w:hAnsi="Cambria"/>
                <w:caps/>
              </w:rPr>
            </w:pPr>
            <w:smartTag w:uri="urn:schemas-microsoft-com:office:smarttags" w:element="City">
              <w:smartTag w:uri="urn:schemas-microsoft-com:office:smarttags" w:element="place">
                <w:r>
                  <w:rPr>
                    <w:rFonts w:ascii="Cambria" w:hAnsi="Cambria"/>
                    <w:caps/>
                  </w:rPr>
                  <w:t>Winnipeg</w:t>
                </w:r>
              </w:smartTag>
            </w:smartTag>
            <w:r>
              <w:rPr>
                <w:rFonts w:ascii="Cambria" w:hAnsi="Cambria"/>
                <w:caps/>
              </w:rPr>
              <w:t xml:space="preserve"> Regional Health Authority</w:t>
            </w:r>
          </w:p>
        </w:tc>
      </w:tr>
      <w:tr w:rsidR="00A04ECD" w:rsidRPr="008E53B0">
        <w:trPr>
          <w:trHeight w:val="1440"/>
          <w:jc w:val="center"/>
        </w:trPr>
        <w:tc>
          <w:tcPr>
            <w:tcW w:w="5000" w:type="pct"/>
            <w:tcBorders>
              <w:bottom w:val="single" w:sz="4" w:space="0" w:color="4F81BD"/>
            </w:tcBorders>
            <w:vAlign w:val="center"/>
          </w:tcPr>
          <w:p w:rsidR="00A04ECD" w:rsidRDefault="00A04ECD" w:rsidP="00115EB1">
            <w:pPr>
              <w:pStyle w:val="NoSpacing"/>
              <w:jc w:val="center"/>
              <w:rPr>
                <w:rFonts w:ascii="Cambria" w:hAnsi="Cambria"/>
                <w:sz w:val="80"/>
                <w:szCs w:val="80"/>
              </w:rPr>
            </w:pPr>
            <w:r>
              <w:rPr>
                <w:rFonts w:ascii="Cambria" w:hAnsi="Cambria"/>
                <w:sz w:val="80"/>
                <w:szCs w:val="80"/>
                <w:lang w:val="en-CA"/>
              </w:rPr>
              <w:t>WRHA Weekend Services</w:t>
            </w:r>
          </w:p>
        </w:tc>
      </w:tr>
      <w:tr w:rsidR="00A04ECD" w:rsidRPr="008E53B0">
        <w:trPr>
          <w:trHeight w:val="720"/>
          <w:jc w:val="center"/>
        </w:trPr>
        <w:tc>
          <w:tcPr>
            <w:tcW w:w="5000" w:type="pct"/>
            <w:tcBorders>
              <w:top w:val="single" w:sz="4" w:space="0" w:color="4F81BD"/>
            </w:tcBorders>
            <w:vAlign w:val="center"/>
          </w:tcPr>
          <w:p w:rsidR="00A04ECD" w:rsidRDefault="00A04ECD" w:rsidP="00850D1F">
            <w:pPr>
              <w:pStyle w:val="NoSpacing"/>
              <w:jc w:val="center"/>
              <w:rPr>
                <w:rFonts w:ascii="Cambria" w:hAnsi="Cambria"/>
                <w:sz w:val="44"/>
                <w:szCs w:val="44"/>
              </w:rPr>
            </w:pPr>
            <w:r>
              <w:rPr>
                <w:rFonts w:ascii="Cambria" w:hAnsi="Cambria"/>
                <w:sz w:val="44"/>
                <w:szCs w:val="44"/>
              </w:rPr>
              <w:t xml:space="preserve">Communicable Disease </w:t>
            </w:r>
            <w:r w:rsidR="00FF069A">
              <w:rPr>
                <w:rFonts w:ascii="Cambria" w:hAnsi="Cambria"/>
                <w:sz w:val="44"/>
                <w:szCs w:val="44"/>
              </w:rPr>
              <w:t xml:space="preserve">and Immunization </w:t>
            </w:r>
            <w:r>
              <w:rPr>
                <w:rFonts w:ascii="Cambria" w:hAnsi="Cambria"/>
                <w:sz w:val="44"/>
                <w:szCs w:val="44"/>
              </w:rPr>
              <w:t>Procedure Manual</w:t>
            </w:r>
          </w:p>
        </w:tc>
      </w:tr>
      <w:tr w:rsidR="00A04ECD" w:rsidRPr="008E53B0">
        <w:trPr>
          <w:trHeight w:val="360"/>
          <w:jc w:val="center"/>
        </w:trPr>
        <w:tc>
          <w:tcPr>
            <w:tcW w:w="5000" w:type="pct"/>
            <w:vAlign w:val="center"/>
          </w:tcPr>
          <w:p w:rsidR="00A04ECD" w:rsidRPr="008E53B0" w:rsidRDefault="00A04ECD">
            <w:pPr>
              <w:pStyle w:val="NoSpacing"/>
              <w:jc w:val="center"/>
            </w:pPr>
          </w:p>
        </w:tc>
      </w:tr>
      <w:tr w:rsidR="00A04ECD" w:rsidRPr="008E53B0">
        <w:trPr>
          <w:trHeight w:val="360"/>
          <w:jc w:val="center"/>
        </w:trPr>
        <w:tc>
          <w:tcPr>
            <w:tcW w:w="5000" w:type="pct"/>
            <w:vAlign w:val="center"/>
          </w:tcPr>
          <w:p w:rsidR="00A04ECD" w:rsidRPr="008E53B0" w:rsidRDefault="00A04ECD" w:rsidP="004128AB">
            <w:pPr>
              <w:pStyle w:val="NoSpacing"/>
              <w:jc w:val="center"/>
              <w:rPr>
                <w:b/>
                <w:bCs/>
              </w:rPr>
            </w:pPr>
          </w:p>
        </w:tc>
      </w:tr>
      <w:tr w:rsidR="00A04ECD" w:rsidRPr="008E53B0">
        <w:trPr>
          <w:trHeight w:val="360"/>
          <w:jc w:val="center"/>
        </w:trPr>
        <w:tc>
          <w:tcPr>
            <w:tcW w:w="5000" w:type="pct"/>
            <w:vAlign w:val="center"/>
          </w:tcPr>
          <w:p w:rsidR="00A04ECD" w:rsidRPr="008E53B0" w:rsidRDefault="00A04ECD">
            <w:pPr>
              <w:pStyle w:val="NoSpacing"/>
              <w:jc w:val="center"/>
              <w:rPr>
                <w:b/>
                <w:bCs/>
              </w:rPr>
            </w:pPr>
            <w:r w:rsidRPr="008E53B0">
              <w:rPr>
                <w:b/>
                <w:bCs/>
              </w:rPr>
              <w:t>Original 2008</w:t>
            </w:r>
          </w:p>
          <w:p w:rsidR="00A04ECD" w:rsidRPr="008E53B0" w:rsidRDefault="00A04ECD" w:rsidP="00673127">
            <w:pPr>
              <w:pStyle w:val="NoSpacing"/>
              <w:jc w:val="center"/>
              <w:rPr>
                <w:b/>
                <w:bCs/>
              </w:rPr>
            </w:pPr>
            <w:r w:rsidRPr="008E53B0">
              <w:rPr>
                <w:b/>
                <w:bCs/>
              </w:rPr>
              <w:t xml:space="preserve">Updated </w:t>
            </w:r>
            <w:r w:rsidR="00673127">
              <w:rPr>
                <w:b/>
                <w:bCs/>
              </w:rPr>
              <w:t>November</w:t>
            </w:r>
            <w:r w:rsidR="00EB059D">
              <w:rPr>
                <w:b/>
                <w:bCs/>
              </w:rPr>
              <w:t xml:space="preserve"> 2018</w:t>
            </w:r>
          </w:p>
        </w:tc>
      </w:tr>
    </w:tbl>
    <w:p w:rsidR="00A04ECD" w:rsidRDefault="00A04ECD"/>
    <w:p w:rsidR="00A04ECD" w:rsidRDefault="00A04ECD"/>
    <w:tbl>
      <w:tblPr>
        <w:tblpPr w:leftFromText="187" w:rightFromText="187" w:horzAnchor="margin" w:tblpXSpec="center" w:tblpYSpec="bottom"/>
        <w:tblW w:w="5000" w:type="pct"/>
        <w:tblLook w:val="00A0" w:firstRow="1" w:lastRow="0" w:firstColumn="1" w:lastColumn="0" w:noHBand="0" w:noVBand="0"/>
      </w:tblPr>
      <w:tblGrid>
        <w:gridCol w:w="9576"/>
      </w:tblGrid>
      <w:tr w:rsidR="00A04ECD" w:rsidRPr="008E53B0">
        <w:tc>
          <w:tcPr>
            <w:tcW w:w="5000" w:type="pct"/>
          </w:tcPr>
          <w:p w:rsidR="00A04ECD" w:rsidRPr="008E53B0" w:rsidRDefault="00A04ECD">
            <w:pPr>
              <w:pStyle w:val="NoSpacing"/>
            </w:pPr>
          </w:p>
        </w:tc>
      </w:tr>
    </w:tbl>
    <w:p w:rsidR="00A04ECD" w:rsidRDefault="00A04ECD"/>
    <w:p w:rsidR="00A04ECD" w:rsidRPr="00DB7286" w:rsidRDefault="00A04ECD" w:rsidP="00804B7E">
      <w:pPr>
        <w:rPr>
          <w:b/>
          <w:sz w:val="24"/>
          <w:szCs w:val="24"/>
        </w:rPr>
      </w:pPr>
      <w:r>
        <w:rPr>
          <w:b/>
          <w:bCs/>
        </w:rPr>
        <w:br w:type="page"/>
      </w:r>
      <w:r w:rsidRPr="00DB7286">
        <w:rPr>
          <w:b/>
          <w:sz w:val="24"/>
          <w:szCs w:val="24"/>
        </w:rPr>
        <w:lastRenderedPageBreak/>
        <w:t>Contents</w:t>
      </w:r>
    </w:p>
    <w:p w:rsidR="00A04ECD" w:rsidRDefault="00A04ECD">
      <w:pPr>
        <w:pStyle w:val="TOC1"/>
        <w:tabs>
          <w:tab w:val="right" w:leader="dot" w:pos="9350"/>
        </w:tabs>
        <w:rPr>
          <w:rFonts w:ascii="Times New Roman" w:eastAsia="MS Mincho" w:hAnsi="Times New Roman"/>
          <w:noProof/>
          <w:sz w:val="24"/>
          <w:szCs w:val="24"/>
          <w:lang w:val="en-US" w:eastAsia="ja-JP"/>
        </w:rPr>
      </w:pPr>
      <w:r>
        <w:fldChar w:fldCharType="begin"/>
      </w:r>
      <w:r>
        <w:instrText xml:space="preserve"> TOC \o "1-3" \h \z \u </w:instrText>
      </w:r>
      <w:r>
        <w:fldChar w:fldCharType="separate"/>
      </w:r>
      <w:hyperlink w:anchor="_Toc311546431" w:history="1">
        <w:r w:rsidRPr="00292F93">
          <w:rPr>
            <w:rStyle w:val="Hyperlink"/>
            <w:noProof/>
          </w:rPr>
          <w:t>Introduction</w:t>
        </w:r>
        <w:r>
          <w:rPr>
            <w:noProof/>
            <w:webHidden/>
          </w:rPr>
          <w:tab/>
        </w:r>
        <w:r>
          <w:rPr>
            <w:noProof/>
            <w:webHidden/>
          </w:rPr>
          <w:fldChar w:fldCharType="begin"/>
        </w:r>
        <w:r>
          <w:rPr>
            <w:noProof/>
            <w:webHidden/>
          </w:rPr>
          <w:instrText xml:space="preserve"> PAGEREF _Toc311546431 \h </w:instrText>
        </w:r>
        <w:r>
          <w:rPr>
            <w:noProof/>
            <w:webHidden/>
          </w:rPr>
        </w:r>
        <w:r>
          <w:rPr>
            <w:noProof/>
            <w:webHidden/>
          </w:rPr>
          <w:fldChar w:fldCharType="separate"/>
        </w:r>
        <w:r>
          <w:rPr>
            <w:noProof/>
            <w:webHidden/>
          </w:rPr>
          <w:t>3</w:t>
        </w:r>
        <w:r>
          <w:rPr>
            <w:noProof/>
            <w:webHidden/>
          </w:rPr>
          <w:fldChar w:fldCharType="end"/>
        </w:r>
      </w:hyperlink>
    </w:p>
    <w:p w:rsidR="00A04ECD" w:rsidRDefault="00B56DB6">
      <w:pPr>
        <w:pStyle w:val="TOC1"/>
        <w:tabs>
          <w:tab w:val="right" w:leader="dot" w:pos="9350"/>
        </w:tabs>
        <w:rPr>
          <w:rFonts w:ascii="Times New Roman" w:eastAsia="MS Mincho" w:hAnsi="Times New Roman"/>
          <w:noProof/>
          <w:sz w:val="24"/>
          <w:szCs w:val="24"/>
          <w:lang w:val="en-US" w:eastAsia="ja-JP"/>
        </w:rPr>
      </w:pPr>
      <w:hyperlink w:anchor="_Toc311546432" w:history="1">
        <w:r w:rsidR="00A04ECD" w:rsidRPr="00292F93">
          <w:rPr>
            <w:rStyle w:val="Hyperlink"/>
            <w:noProof/>
          </w:rPr>
          <w:t>Communicable Disease Referrals for Weekend Services</w:t>
        </w:r>
        <w:r w:rsidR="00A04ECD">
          <w:rPr>
            <w:noProof/>
            <w:webHidden/>
          </w:rPr>
          <w:tab/>
        </w:r>
        <w:r w:rsidR="00A04ECD">
          <w:rPr>
            <w:noProof/>
            <w:webHidden/>
          </w:rPr>
          <w:fldChar w:fldCharType="begin"/>
        </w:r>
        <w:r w:rsidR="00A04ECD">
          <w:rPr>
            <w:noProof/>
            <w:webHidden/>
          </w:rPr>
          <w:instrText xml:space="preserve"> PAGEREF _Toc311546432 \h </w:instrText>
        </w:r>
        <w:r w:rsidR="00A04ECD">
          <w:rPr>
            <w:noProof/>
            <w:webHidden/>
          </w:rPr>
        </w:r>
        <w:r w:rsidR="00A04ECD">
          <w:rPr>
            <w:noProof/>
            <w:webHidden/>
          </w:rPr>
          <w:fldChar w:fldCharType="separate"/>
        </w:r>
        <w:r w:rsidR="00A04ECD">
          <w:rPr>
            <w:noProof/>
            <w:webHidden/>
          </w:rPr>
          <w:t>3</w:t>
        </w:r>
        <w:r w:rsidR="00A04ECD">
          <w:rPr>
            <w:noProof/>
            <w:webHidden/>
          </w:rPr>
          <w:fldChar w:fldCharType="end"/>
        </w:r>
      </w:hyperlink>
    </w:p>
    <w:p w:rsidR="00A04ECD" w:rsidRDefault="00B56DB6">
      <w:pPr>
        <w:pStyle w:val="TOC1"/>
        <w:tabs>
          <w:tab w:val="right" w:leader="dot" w:pos="9350"/>
        </w:tabs>
        <w:rPr>
          <w:rFonts w:ascii="Times New Roman" w:eastAsia="MS Mincho" w:hAnsi="Times New Roman"/>
          <w:noProof/>
          <w:sz w:val="24"/>
          <w:szCs w:val="24"/>
          <w:lang w:val="en-US" w:eastAsia="ja-JP"/>
        </w:rPr>
      </w:pPr>
      <w:hyperlink w:anchor="_Toc311546433" w:history="1">
        <w:r w:rsidR="00A04ECD" w:rsidRPr="00292F93">
          <w:rPr>
            <w:rStyle w:val="Hyperlink"/>
            <w:noProof/>
          </w:rPr>
          <w:t>Process for Response to a CD outbreak prior to a weekend:</w:t>
        </w:r>
        <w:r w:rsidR="00A04ECD">
          <w:rPr>
            <w:noProof/>
            <w:webHidden/>
          </w:rPr>
          <w:tab/>
        </w:r>
        <w:r w:rsidR="00A04ECD">
          <w:rPr>
            <w:noProof/>
            <w:webHidden/>
          </w:rPr>
          <w:fldChar w:fldCharType="begin"/>
        </w:r>
        <w:r w:rsidR="00A04ECD">
          <w:rPr>
            <w:noProof/>
            <w:webHidden/>
          </w:rPr>
          <w:instrText xml:space="preserve"> PAGEREF _Toc311546433 \h </w:instrText>
        </w:r>
        <w:r w:rsidR="00A04ECD">
          <w:rPr>
            <w:noProof/>
            <w:webHidden/>
          </w:rPr>
        </w:r>
        <w:r w:rsidR="00A04ECD">
          <w:rPr>
            <w:noProof/>
            <w:webHidden/>
          </w:rPr>
          <w:fldChar w:fldCharType="separate"/>
        </w:r>
        <w:r w:rsidR="00A04ECD">
          <w:rPr>
            <w:noProof/>
            <w:webHidden/>
          </w:rPr>
          <w:t>4</w:t>
        </w:r>
        <w:r w:rsidR="00A04ECD">
          <w:rPr>
            <w:noProof/>
            <w:webHidden/>
          </w:rPr>
          <w:fldChar w:fldCharType="end"/>
        </w:r>
      </w:hyperlink>
    </w:p>
    <w:p w:rsidR="00A04ECD" w:rsidRDefault="00B56DB6">
      <w:pPr>
        <w:pStyle w:val="TOC1"/>
        <w:tabs>
          <w:tab w:val="right" w:leader="dot" w:pos="9350"/>
        </w:tabs>
        <w:rPr>
          <w:rFonts w:ascii="Times New Roman" w:eastAsia="MS Mincho" w:hAnsi="Times New Roman"/>
          <w:noProof/>
          <w:sz w:val="24"/>
          <w:szCs w:val="24"/>
          <w:lang w:val="en-US" w:eastAsia="ja-JP"/>
        </w:rPr>
      </w:pPr>
      <w:hyperlink w:anchor="_Toc311546434" w:history="1">
        <w:r w:rsidR="00A04ECD" w:rsidRPr="00292F93">
          <w:rPr>
            <w:rStyle w:val="Hyperlink"/>
            <w:noProof/>
          </w:rPr>
          <w:t>Communicable Disease Management</w:t>
        </w:r>
        <w:r w:rsidR="00A04ECD">
          <w:rPr>
            <w:noProof/>
            <w:webHidden/>
          </w:rPr>
          <w:tab/>
        </w:r>
        <w:r w:rsidR="00A04ECD">
          <w:rPr>
            <w:noProof/>
            <w:webHidden/>
          </w:rPr>
          <w:fldChar w:fldCharType="begin"/>
        </w:r>
        <w:r w:rsidR="00A04ECD">
          <w:rPr>
            <w:noProof/>
            <w:webHidden/>
          </w:rPr>
          <w:instrText xml:space="preserve"> PAGEREF _Toc311546434 \h </w:instrText>
        </w:r>
        <w:r w:rsidR="00A04ECD">
          <w:rPr>
            <w:noProof/>
            <w:webHidden/>
          </w:rPr>
        </w:r>
        <w:r w:rsidR="00A04ECD">
          <w:rPr>
            <w:noProof/>
            <w:webHidden/>
          </w:rPr>
          <w:fldChar w:fldCharType="separate"/>
        </w:r>
        <w:r w:rsidR="00A04ECD">
          <w:rPr>
            <w:noProof/>
            <w:webHidden/>
          </w:rPr>
          <w:t>4</w:t>
        </w:r>
        <w:r w:rsidR="00A04ECD">
          <w:rPr>
            <w:noProof/>
            <w:webHidden/>
          </w:rPr>
          <w:fldChar w:fldCharType="end"/>
        </w:r>
      </w:hyperlink>
    </w:p>
    <w:p w:rsidR="00A04ECD" w:rsidRDefault="00B56DB6">
      <w:pPr>
        <w:pStyle w:val="TOC1"/>
        <w:tabs>
          <w:tab w:val="right" w:leader="dot" w:pos="9350"/>
        </w:tabs>
        <w:rPr>
          <w:rFonts w:ascii="Times New Roman" w:eastAsia="MS Mincho" w:hAnsi="Times New Roman"/>
          <w:noProof/>
          <w:sz w:val="24"/>
          <w:szCs w:val="24"/>
          <w:lang w:val="en-US" w:eastAsia="ja-JP"/>
        </w:rPr>
      </w:pPr>
      <w:hyperlink w:anchor="_Toc311546435" w:history="1">
        <w:r w:rsidR="00A04ECD" w:rsidRPr="00292F93">
          <w:rPr>
            <w:rStyle w:val="Hyperlink"/>
            <w:noProof/>
          </w:rPr>
          <w:t>Procedures and Supplies</w:t>
        </w:r>
        <w:r w:rsidR="00A04ECD">
          <w:rPr>
            <w:noProof/>
            <w:webHidden/>
          </w:rPr>
          <w:tab/>
        </w:r>
        <w:r w:rsidR="00A04ECD">
          <w:rPr>
            <w:noProof/>
            <w:webHidden/>
          </w:rPr>
          <w:fldChar w:fldCharType="begin"/>
        </w:r>
        <w:r w:rsidR="00A04ECD">
          <w:rPr>
            <w:noProof/>
            <w:webHidden/>
          </w:rPr>
          <w:instrText xml:space="preserve"> PAGEREF _Toc311546435 \h </w:instrText>
        </w:r>
        <w:r w:rsidR="00A04ECD">
          <w:rPr>
            <w:noProof/>
            <w:webHidden/>
          </w:rPr>
        </w:r>
        <w:r w:rsidR="00A04ECD">
          <w:rPr>
            <w:noProof/>
            <w:webHidden/>
          </w:rPr>
          <w:fldChar w:fldCharType="separate"/>
        </w:r>
        <w:r w:rsidR="00A04ECD">
          <w:rPr>
            <w:noProof/>
            <w:webHidden/>
          </w:rPr>
          <w:t>5</w:t>
        </w:r>
        <w:r w:rsidR="00A04ECD">
          <w:rPr>
            <w:noProof/>
            <w:webHidden/>
          </w:rPr>
          <w:fldChar w:fldCharType="end"/>
        </w:r>
      </w:hyperlink>
    </w:p>
    <w:p w:rsidR="00A04ECD" w:rsidRDefault="00B56DB6" w:rsidP="00804B7E">
      <w:pPr>
        <w:pStyle w:val="TOC1"/>
        <w:tabs>
          <w:tab w:val="right" w:leader="dot" w:pos="9350"/>
        </w:tabs>
      </w:pPr>
      <w:hyperlink w:anchor="_Toc311546436" w:history="1">
        <w:r w:rsidR="00A04ECD" w:rsidRPr="00292F93">
          <w:rPr>
            <w:rStyle w:val="Hyperlink"/>
            <w:noProof/>
          </w:rPr>
          <w:t>Documentation</w:t>
        </w:r>
        <w:r w:rsidR="00A04ECD">
          <w:rPr>
            <w:noProof/>
            <w:webHidden/>
          </w:rPr>
          <w:tab/>
        </w:r>
        <w:r w:rsidR="00A04ECD">
          <w:rPr>
            <w:noProof/>
            <w:webHidden/>
          </w:rPr>
          <w:fldChar w:fldCharType="begin"/>
        </w:r>
        <w:r w:rsidR="00A04ECD">
          <w:rPr>
            <w:noProof/>
            <w:webHidden/>
          </w:rPr>
          <w:instrText xml:space="preserve"> PAGEREF _Toc311546436 \h </w:instrText>
        </w:r>
        <w:r w:rsidR="00A04ECD">
          <w:rPr>
            <w:noProof/>
            <w:webHidden/>
          </w:rPr>
        </w:r>
        <w:r w:rsidR="00A04ECD">
          <w:rPr>
            <w:noProof/>
            <w:webHidden/>
          </w:rPr>
          <w:fldChar w:fldCharType="separate"/>
        </w:r>
        <w:r w:rsidR="00A04ECD">
          <w:rPr>
            <w:noProof/>
            <w:webHidden/>
          </w:rPr>
          <w:t>5</w:t>
        </w:r>
        <w:r w:rsidR="00A04ECD">
          <w:rPr>
            <w:noProof/>
            <w:webHidden/>
          </w:rPr>
          <w:fldChar w:fldCharType="end"/>
        </w:r>
      </w:hyperlink>
      <w:r w:rsidR="00A04ECD">
        <w:fldChar w:fldCharType="end"/>
      </w:r>
    </w:p>
    <w:p w:rsidR="00A04ECD" w:rsidRDefault="00A04ECD" w:rsidP="00804B7E"/>
    <w:p w:rsidR="00A04ECD" w:rsidRDefault="00A04ECD" w:rsidP="00804B7E"/>
    <w:p w:rsidR="00A04ECD" w:rsidRDefault="00A04ECD" w:rsidP="00804B7E"/>
    <w:p w:rsidR="00A04ECD" w:rsidRDefault="00A04ECD" w:rsidP="00804B7E"/>
    <w:p w:rsidR="00A04ECD" w:rsidRDefault="00A04ECD" w:rsidP="00804B7E"/>
    <w:p w:rsidR="00A04ECD" w:rsidRDefault="00A04ECD" w:rsidP="00804B7E"/>
    <w:p w:rsidR="00A04ECD" w:rsidRDefault="00A04ECD" w:rsidP="00804B7E"/>
    <w:p w:rsidR="00A04ECD" w:rsidRDefault="00A04ECD" w:rsidP="00804B7E"/>
    <w:p w:rsidR="00A04ECD" w:rsidRDefault="00A04ECD" w:rsidP="00804B7E"/>
    <w:p w:rsidR="00A04ECD" w:rsidRDefault="00A04ECD" w:rsidP="00804B7E"/>
    <w:p w:rsidR="00A04ECD" w:rsidRDefault="00A04ECD" w:rsidP="00804B7E"/>
    <w:p w:rsidR="00A04ECD" w:rsidRDefault="00A04ECD" w:rsidP="00804B7E"/>
    <w:p w:rsidR="00A04ECD" w:rsidRDefault="00A04ECD" w:rsidP="00804B7E"/>
    <w:p w:rsidR="00A04ECD" w:rsidRDefault="00A04ECD" w:rsidP="00804B7E"/>
    <w:p w:rsidR="00A04ECD" w:rsidRDefault="00A04ECD" w:rsidP="00804B7E"/>
    <w:p w:rsidR="00A04ECD" w:rsidRDefault="00A04ECD" w:rsidP="00804B7E"/>
    <w:p w:rsidR="00A04ECD" w:rsidRDefault="00A04ECD" w:rsidP="00804B7E"/>
    <w:p w:rsidR="00A04ECD" w:rsidRPr="00804B7E" w:rsidRDefault="00A04ECD" w:rsidP="00804B7E"/>
    <w:p w:rsidR="00A04ECD" w:rsidRPr="007D0D03" w:rsidRDefault="00A04ECD" w:rsidP="007D0D03">
      <w:pPr>
        <w:pStyle w:val="Heading1"/>
      </w:pPr>
      <w:bookmarkStart w:id="0" w:name="_Toc311546431"/>
      <w:r w:rsidRPr="007D0D03">
        <w:lastRenderedPageBreak/>
        <w:t>Introduction</w:t>
      </w:r>
      <w:bookmarkEnd w:id="0"/>
      <w:r w:rsidRPr="007D0D03">
        <w:t xml:space="preserve"> </w:t>
      </w:r>
    </w:p>
    <w:p w:rsidR="00A04ECD" w:rsidRDefault="00A04ECD" w:rsidP="00731F8A">
      <w:pPr>
        <w:pStyle w:val="ListParagraph"/>
        <w:spacing w:after="0" w:line="240" w:lineRule="auto"/>
        <w:ind w:left="0"/>
      </w:pPr>
    </w:p>
    <w:p w:rsidR="00A04ECD" w:rsidRDefault="00A04ECD" w:rsidP="00DB7286">
      <w:pPr>
        <w:pStyle w:val="ListParagraph"/>
        <w:spacing w:after="0" w:line="240" w:lineRule="auto"/>
        <w:ind w:left="0"/>
        <w:jc w:val="both"/>
      </w:pPr>
      <w:r>
        <w:t xml:space="preserve">Communicable disease referrals may require follow-up on the weekends.  In consultation with the Medical Officer of Health a decision may be made that the reportable communicable disease requires a timely public health response to prevent further transmission and risk to the public.  Certain CDs require weekend/statutory holiday follow-up.  These may include </w:t>
      </w:r>
      <w:r w:rsidR="00673127">
        <w:t xml:space="preserve">but </w:t>
      </w:r>
      <w:r>
        <w:t>are not limited to:</w:t>
      </w:r>
    </w:p>
    <w:p w:rsidR="00A04ECD" w:rsidRDefault="00A04ECD" w:rsidP="00DB7286">
      <w:pPr>
        <w:pStyle w:val="ListParagraph"/>
        <w:numPr>
          <w:ilvl w:val="0"/>
          <w:numId w:val="19"/>
        </w:numPr>
        <w:spacing w:after="0" w:line="240" w:lineRule="auto"/>
        <w:jc w:val="both"/>
      </w:pPr>
      <w:r>
        <w:t>Enteric infections for assessment of occupational risk of transmission i.e. food handler or health care worker</w:t>
      </w:r>
    </w:p>
    <w:p w:rsidR="00A04ECD" w:rsidRDefault="00A04ECD" w:rsidP="00DB7286">
      <w:pPr>
        <w:pStyle w:val="ListParagraph"/>
        <w:numPr>
          <w:ilvl w:val="0"/>
          <w:numId w:val="19"/>
        </w:numPr>
        <w:spacing w:after="0" w:line="240" w:lineRule="auto"/>
        <w:jc w:val="both"/>
      </w:pPr>
      <w:r>
        <w:t>Implementation of time sensitive prophylactic protection i.e. hepatitis A, rabies or Meningococcal outbreak management</w:t>
      </w:r>
    </w:p>
    <w:p w:rsidR="00A04ECD" w:rsidRDefault="00A04ECD" w:rsidP="00DB7286">
      <w:pPr>
        <w:pStyle w:val="ListParagraph"/>
        <w:numPr>
          <w:ilvl w:val="1"/>
          <w:numId w:val="19"/>
        </w:numPr>
        <w:spacing w:after="0" w:line="240" w:lineRule="auto"/>
        <w:jc w:val="both"/>
      </w:pPr>
      <w:r>
        <w:t>A case of Invasive Meningococcal Disease requires urgent follow-up.  Two (2) public health nurses should be assigned to a case of Invasive Meningococcal Disease with a lead Public Health Nurse to coordinate the case</w:t>
      </w:r>
    </w:p>
    <w:p w:rsidR="00A04ECD" w:rsidRDefault="00A04ECD" w:rsidP="00DB7286">
      <w:pPr>
        <w:pStyle w:val="ListParagraph"/>
        <w:numPr>
          <w:ilvl w:val="0"/>
          <w:numId w:val="19"/>
        </w:numPr>
        <w:spacing w:after="0" w:line="240" w:lineRule="auto"/>
        <w:jc w:val="both"/>
      </w:pPr>
      <w:r>
        <w:t xml:space="preserve">Community area PHN has been unable to contact a client and risk </w:t>
      </w:r>
      <w:r w:rsidR="00673127">
        <w:t>was</w:t>
      </w:r>
      <w:r>
        <w:t xml:space="preserve"> identified if Public Health Nursing services were deferred to the next regular workday</w:t>
      </w:r>
    </w:p>
    <w:p w:rsidR="00A04ECD" w:rsidRDefault="00A04ECD" w:rsidP="00DB7286">
      <w:pPr>
        <w:pStyle w:val="ListParagraph"/>
        <w:spacing w:after="0" w:line="240" w:lineRule="auto"/>
        <w:ind w:left="360"/>
        <w:jc w:val="both"/>
      </w:pPr>
      <w:r>
        <w:br/>
        <w:t>The referrals can occur in two (2) ways:</w:t>
      </w:r>
    </w:p>
    <w:p w:rsidR="00A04ECD" w:rsidRDefault="00A04ECD" w:rsidP="00DB7286">
      <w:pPr>
        <w:pStyle w:val="ListParagraph"/>
        <w:numPr>
          <w:ilvl w:val="0"/>
          <w:numId w:val="20"/>
        </w:numPr>
        <w:spacing w:after="0" w:line="240" w:lineRule="auto"/>
        <w:jc w:val="both"/>
      </w:pPr>
      <w:r>
        <w:t>A communicable disease referral transferred to Weekend Services that requires ongoing follow-up.</w:t>
      </w:r>
    </w:p>
    <w:p w:rsidR="00A04ECD" w:rsidRDefault="00A04ECD" w:rsidP="00DB7286">
      <w:pPr>
        <w:pStyle w:val="ListParagraph"/>
        <w:numPr>
          <w:ilvl w:val="0"/>
          <w:numId w:val="20"/>
        </w:numPr>
        <w:spacing w:after="0" w:line="240" w:lineRule="auto"/>
        <w:jc w:val="both"/>
      </w:pPr>
      <w:r>
        <w:t>A communicable disease that is referred to Weekend Services via the Medical Officer of Health on-call.</w:t>
      </w:r>
    </w:p>
    <w:p w:rsidR="00A04ECD" w:rsidRDefault="00A04ECD" w:rsidP="00DB7286">
      <w:pPr>
        <w:pStyle w:val="Heading1"/>
        <w:jc w:val="both"/>
      </w:pPr>
      <w:bookmarkStart w:id="1" w:name="_Toc311546432"/>
      <w:r w:rsidRPr="001D16F0">
        <w:t>Communicable Disease Referrals</w:t>
      </w:r>
      <w:r>
        <w:t xml:space="preserve"> for Weekend Services</w:t>
      </w:r>
      <w:bookmarkEnd w:id="1"/>
      <w:r>
        <w:t xml:space="preserve"> </w:t>
      </w:r>
    </w:p>
    <w:p w:rsidR="00A04ECD" w:rsidRDefault="00A04ECD" w:rsidP="00DB7286">
      <w:pPr>
        <w:pStyle w:val="ListParagraph"/>
        <w:spacing w:after="0" w:line="240" w:lineRule="auto"/>
        <w:ind w:left="0"/>
        <w:jc w:val="both"/>
      </w:pPr>
      <w:r w:rsidRPr="00780C8B">
        <w:rPr>
          <w:b/>
        </w:rPr>
        <w:t>Communication with CD Coordinators</w:t>
      </w:r>
      <w:r>
        <w:t>:</w:t>
      </w:r>
    </w:p>
    <w:p w:rsidR="00A04ECD" w:rsidRDefault="00A04ECD" w:rsidP="00DB7286">
      <w:pPr>
        <w:pStyle w:val="ListParagraph"/>
        <w:numPr>
          <w:ilvl w:val="0"/>
          <w:numId w:val="23"/>
        </w:numPr>
        <w:spacing w:after="0" w:line="240" w:lineRule="auto"/>
        <w:jc w:val="both"/>
      </w:pPr>
      <w:r>
        <w:t>Communicable Diseases that are transferred to the weekend for completion of the investigation should be done in consultation with the CD Coordinator and sent to PHN#1 for distribution</w:t>
      </w:r>
      <w:r w:rsidR="00673127">
        <w:t>.</w:t>
      </w:r>
    </w:p>
    <w:p w:rsidR="00A04ECD" w:rsidRDefault="00A04ECD" w:rsidP="00DB7286">
      <w:pPr>
        <w:pStyle w:val="ListParagraph"/>
        <w:numPr>
          <w:ilvl w:val="0"/>
          <w:numId w:val="23"/>
        </w:numPr>
        <w:spacing w:after="0" w:line="240" w:lineRule="auto"/>
        <w:jc w:val="both"/>
      </w:pPr>
      <w:r>
        <w:t>PHN to complete Public Health variance form and fax to Weekend Services fax #</w:t>
      </w:r>
      <w:r w:rsidR="00673127">
        <w:t>.</w:t>
      </w:r>
    </w:p>
    <w:p w:rsidR="00A04ECD" w:rsidRDefault="006E3686" w:rsidP="00DB7286">
      <w:pPr>
        <w:pStyle w:val="ListParagraph"/>
        <w:numPr>
          <w:ilvl w:val="0"/>
          <w:numId w:val="24"/>
        </w:numPr>
        <w:spacing w:after="0" w:line="240" w:lineRule="auto"/>
        <w:jc w:val="both"/>
      </w:pPr>
      <w:r>
        <w:t>PHN to r</w:t>
      </w:r>
      <w:r w:rsidR="00A04ECD">
        <w:t>efer via IPHIS to PHN #1</w:t>
      </w:r>
      <w:r w:rsidR="00673127">
        <w:t>.</w:t>
      </w:r>
    </w:p>
    <w:p w:rsidR="00A04ECD" w:rsidRDefault="00066D67" w:rsidP="00DB7286">
      <w:pPr>
        <w:pStyle w:val="ListParagraph"/>
        <w:numPr>
          <w:ilvl w:val="0"/>
          <w:numId w:val="24"/>
        </w:numPr>
        <w:spacing w:after="0" w:line="240" w:lineRule="auto"/>
        <w:jc w:val="both"/>
      </w:pPr>
      <w:r>
        <w:t>PHN to</w:t>
      </w:r>
      <w:r w:rsidR="006E3686">
        <w:t xml:space="preserve"> l</w:t>
      </w:r>
      <w:r w:rsidR="00A04ECD">
        <w:t>eave voice mail message on PHN #1 cell phone</w:t>
      </w:r>
      <w:r w:rsidR="00673127">
        <w:t>.</w:t>
      </w:r>
    </w:p>
    <w:p w:rsidR="00A04ECD" w:rsidRDefault="00A04ECD" w:rsidP="00DB7286">
      <w:pPr>
        <w:pStyle w:val="ListParagraph"/>
        <w:numPr>
          <w:ilvl w:val="0"/>
          <w:numId w:val="24"/>
        </w:numPr>
        <w:spacing w:after="0" w:line="240" w:lineRule="auto"/>
        <w:jc w:val="both"/>
      </w:pPr>
      <w:r>
        <w:t>Assigned PHN to proceed with CD investigation as per CD protocol.  Consult with MOH</w:t>
      </w:r>
      <w:r w:rsidR="006E3686">
        <w:t>-on-call</w:t>
      </w:r>
      <w:r>
        <w:t xml:space="preserve"> as necess</w:t>
      </w:r>
      <w:r w:rsidR="006E3686">
        <w:t xml:space="preserve">ary; documentation to occur in </w:t>
      </w:r>
      <w:proofErr w:type="spellStart"/>
      <w:r w:rsidR="006E3686">
        <w:t>i</w:t>
      </w:r>
      <w:r>
        <w:t>PHIS</w:t>
      </w:r>
      <w:proofErr w:type="spellEnd"/>
      <w:r w:rsidR="00673127">
        <w:t>.</w:t>
      </w:r>
    </w:p>
    <w:p w:rsidR="00A04ECD" w:rsidRDefault="00A04ECD" w:rsidP="00DB7286">
      <w:pPr>
        <w:pStyle w:val="ListParagraph"/>
        <w:numPr>
          <w:ilvl w:val="0"/>
          <w:numId w:val="24"/>
        </w:numPr>
        <w:spacing w:after="0" w:line="240" w:lineRule="auto"/>
        <w:jc w:val="both"/>
      </w:pPr>
      <w:r>
        <w:t>At the end of the Weekend/Stat work day, the PHN who has worked with a communicable disease follow-up is to leave a message on the CD Unit Admin phone line 204-940-2081 regarding the communicable disease referral that was received during the weekend or stat holiday.  The message is to specify information about the type of the communicable disease and the community area(s) in which the communicable disease follow-up will continue</w:t>
      </w:r>
      <w:r w:rsidR="00673127">
        <w:t>.</w:t>
      </w:r>
    </w:p>
    <w:p w:rsidR="00A04ECD" w:rsidRDefault="00A04ECD" w:rsidP="00DB7286">
      <w:pPr>
        <w:pStyle w:val="ListParagraph"/>
        <w:spacing w:after="0" w:line="240" w:lineRule="auto"/>
        <w:jc w:val="both"/>
      </w:pPr>
      <w:r>
        <w:t xml:space="preserve">  </w:t>
      </w:r>
    </w:p>
    <w:p w:rsidR="00A04ECD" w:rsidRDefault="00A04ECD" w:rsidP="00DB7286">
      <w:pPr>
        <w:spacing w:after="0" w:line="240" w:lineRule="auto"/>
        <w:jc w:val="both"/>
      </w:pPr>
    </w:p>
    <w:p w:rsidR="00A04ECD" w:rsidRDefault="00A04ECD" w:rsidP="00DB7286">
      <w:pPr>
        <w:spacing w:after="0" w:line="240" w:lineRule="auto"/>
        <w:jc w:val="both"/>
      </w:pPr>
    </w:p>
    <w:p w:rsidR="00A04ECD" w:rsidRDefault="00A04ECD" w:rsidP="00DB7286">
      <w:pPr>
        <w:pStyle w:val="Heading1"/>
        <w:jc w:val="both"/>
      </w:pPr>
      <w:bookmarkStart w:id="2" w:name="_Toc311546433"/>
      <w:r>
        <w:lastRenderedPageBreak/>
        <w:t>Communicable Disease Referrals received through MOH on-call</w:t>
      </w:r>
    </w:p>
    <w:p w:rsidR="00A04ECD" w:rsidRDefault="00A04ECD" w:rsidP="00DB7286">
      <w:pPr>
        <w:numPr>
          <w:ilvl w:val="0"/>
          <w:numId w:val="25"/>
        </w:numPr>
        <w:spacing w:after="100" w:afterAutospacing="1" w:line="240" w:lineRule="auto"/>
        <w:jc w:val="both"/>
      </w:pPr>
      <w:r>
        <w:t>After hours MOH will contact public health weekend services</w:t>
      </w:r>
      <w:r w:rsidR="006E3686">
        <w:t xml:space="preserve"> via Team Manager-on-call</w:t>
      </w:r>
      <w:r>
        <w:t xml:space="preserve"> </w:t>
      </w:r>
      <w:r w:rsidR="00673127">
        <w:t xml:space="preserve">(TMOC) </w:t>
      </w:r>
      <w:r>
        <w:t>if CD referral requires urgent follow-up</w:t>
      </w:r>
      <w:r w:rsidR="00673127">
        <w:t>.</w:t>
      </w:r>
    </w:p>
    <w:p w:rsidR="00673127" w:rsidRDefault="00673127" w:rsidP="00DB7286">
      <w:pPr>
        <w:numPr>
          <w:ilvl w:val="0"/>
          <w:numId w:val="25"/>
        </w:numPr>
        <w:spacing w:after="100" w:afterAutospacing="1" w:line="240" w:lineRule="auto"/>
        <w:jc w:val="both"/>
      </w:pPr>
      <w:r>
        <w:t>TMOC to contact PHN #1.</w:t>
      </w:r>
    </w:p>
    <w:p w:rsidR="00A04ECD" w:rsidRDefault="00A04ECD" w:rsidP="00DB7286">
      <w:pPr>
        <w:numPr>
          <w:ilvl w:val="0"/>
          <w:numId w:val="25"/>
        </w:numPr>
        <w:spacing w:after="100" w:afterAutospacing="1" w:line="240" w:lineRule="auto"/>
        <w:jc w:val="both"/>
      </w:pPr>
      <w:r>
        <w:t>PHN #1 to assign the follow-up to another PHN</w:t>
      </w:r>
      <w:r w:rsidR="00673127">
        <w:t>.</w:t>
      </w:r>
    </w:p>
    <w:p w:rsidR="00A04ECD" w:rsidRDefault="00A04ECD" w:rsidP="00DB7286">
      <w:pPr>
        <w:numPr>
          <w:ilvl w:val="0"/>
          <w:numId w:val="25"/>
        </w:numPr>
        <w:spacing w:after="100" w:afterAutospacing="1" w:line="240" w:lineRule="auto"/>
        <w:jc w:val="both"/>
      </w:pPr>
      <w:r>
        <w:t>Weekend Administrative Secretary to enter CD referral into IPHIS as per the administrative procedure</w:t>
      </w:r>
      <w:r w:rsidR="00673127">
        <w:t>.</w:t>
      </w:r>
    </w:p>
    <w:p w:rsidR="00A04ECD" w:rsidRPr="009D345D" w:rsidRDefault="00A04ECD" w:rsidP="00FA1540">
      <w:pPr>
        <w:pStyle w:val="Heading1"/>
        <w:jc w:val="both"/>
        <w:rPr>
          <w:rFonts w:ascii="Calibri" w:hAnsi="Calibri"/>
          <w:color w:val="auto"/>
          <w:sz w:val="22"/>
          <w:szCs w:val="22"/>
        </w:rPr>
      </w:pPr>
      <w:r w:rsidRPr="00E610CE">
        <w:rPr>
          <w:color w:val="3366FF"/>
        </w:rPr>
        <w:t>Resources</w:t>
      </w:r>
    </w:p>
    <w:p w:rsidR="00A04ECD" w:rsidRDefault="00A04ECD" w:rsidP="00FA1540">
      <w:pPr>
        <w:spacing w:after="100" w:afterAutospacing="1" w:line="240" w:lineRule="auto"/>
        <w:jc w:val="both"/>
      </w:pPr>
      <w:smartTag w:uri="urn:schemas-microsoft-com:office:smarttags" w:element="place">
        <w:r>
          <w:t>Manitoba</w:t>
        </w:r>
      </w:smartTag>
      <w:r>
        <w:t xml:space="preserve"> Health Communicable Disease Protocols: </w:t>
      </w:r>
    </w:p>
    <w:p w:rsidR="00A04ECD" w:rsidRPr="006E3686" w:rsidRDefault="00A04ECD" w:rsidP="007F509B">
      <w:pPr>
        <w:numPr>
          <w:ilvl w:val="0"/>
          <w:numId w:val="34"/>
        </w:numPr>
        <w:spacing w:after="100" w:afterAutospacing="1" w:line="240" w:lineRule="auto"/>
        <w:jc w:val="both"/>
        <w:rPr>
          <w:rStyle w:val="Hyperlink"/>
          <w:color w:val="auto"/>
          <w:u w:val="none"/>
        </w:rPr>
      </w:pPr>
      <w:r>
        <w:t xml:space="preserve">Public Health Nurses are to access the web-based communicable disease protocols for current information about Communicable Disease Management at the following address: </w:t>
      </w:r>
      <w:hyperlink r:id="rId9" w:history="1">
        <w:r w:rsidRPr="00D73666">
          <w:rPr>
            <w:rStyle w:val="Hyperlink"/>
          </w:rPr>
          <w:t>http://www.gov.mb.ca/health/publichealth/cdc/protocol/index.html</w:t>
        </w:r>
      </w:hyperlink>
    </w:p>
    <w:p w:rsidR="00A04ECD" w:rsidRDefault="00A04ECD" w:rsidP="007F509B">
      <w:pPr>
        <w:numPr>
          <w:ilvl w:val="0"/>
          <w:numId w:val="34"/>
        </w:numPr>
        <w:spacing w:after="100" w:afterAutospacing="1" w:line="240" w:lineRule="auto"/>
        <w:jc w:val="both"/>
      </w:pPr>
      <w:r>
        <w:t>Questionnaires</w:t>
      </w:r>
      <w:r w:rsidR="006E3686">
        <w:t xml:space="preserve"> and Operational Guidelines</w:t>
      </w:r>
      <w:r>
        <w:t xml:space="preserve"> have been developed as tools to guide PHN interviews for some of the communicable diseases requiring specific and detailed inf</w:t>
      </w:r>
      <w:r w:rsidR="006E3686">
        <w:t xml:space="preserve">ormation.  These are located </w:t>
      </w:r>
      <w:r>
        <w:t xml:space="preserve">at:  </w:t>
      </w:r>
      <w:hyperlink r:id="rId10" w:history="1">
        <w:r w:rsidRPr="009431C8">
          <w:rPr>
            <w:rStyle w:val="Hyperlink"/>
          </w:rPr>
          <w:t>http://www.wrha.mb.ca/extranet/publichealth/services-communicable-disease.php</w:t>
        </w:r>
      </w:hyperlink>
      <w:r>
        <w:t xml:space="preserve">  </w:t>
      </w:r>
    </w:p>
    <w:p w:rsidR="00A04ECD" w:rsidRDefault="00A04ECD" w:rsidP="00E610CE">
      <w:pPr>
        <w:pStyle w:val="Heading1"/>
      </w:pPr>
      <w:r w:rsidRPr="009752CD">
        <w:t>Process for Response to a CD outbreak prior to a weekend</w:t>
      </w:r>
      <w:bookmarkEnd w:id="2"/>
    </w:p>
    <w:p w:rsidR="00A04ECD" w:rsidRDefault="00A04ECD" w:rsidP="00DB7286">
      <w:pPr>
        <w:pStyle w:val="ListParagraph"/>
        <w:spacing w:after="0" w:line="240" w:lineRule="auto"/>
        <w:ind w:left="0"/>
        <w:jc w:val="both"/>
      </w:pPr>
      <w:r>
        <w:t xml:space="preserve">If outbreak response requires significant weekend services, the community area Team Manager </w:t>
      </w:r>
      <w:r w:rsidR="00F91103">
        <w:t>may request</w:t>
      </w:r>
      <w:r>
        <w:t>:</w:t>
      </w:r>
    </w:p>
    <w:p w:rsidR="00A04ECD" w:rsidRDefault="00673127" w:rsidP="00DB7286">
      <w:pPr>
        <w:pStyle w:val="ListParagraph"/>
        <w:numPr>
          <w:ilvl w:val="0"/>
          <w:numId w:val="27"/>
        </w:numPr>
        <w:spacing w:after="0" w:line="240" w:lineRule="auto"/>
        <w:jc w:val="both"/>
      </w:pPr>
      <w:r>
        <w:t>T</w:t>
      </w:r>
      <w:r w:rsidR="00A04ECD">
        <w:t>hose already working to alter hours to provide  continuity of services</w:t>
      </w:r>
    </w:p>
    <w:p w:rsidR="00A04ECD" w:rsidRDefault="00673127" w:rsidP="00DB7286">
      <w:pPr>
        <w:pStyle w:val="ListParagraph"/>
        <w:numPr>
          <w:ilvl w:val="0"/>
          <w:numId w:val="27"/>
        </w:numPr>
        <w:spacing w:after="0" w:line="240" w:lineRule="auto"/>
        <w:jc w:val="both"/>
      </w:pPr>
      <w:r>
        <w:t>I</w:t>
      </w:r>
      <w:r w:rsidR="00A04ECD">
        <w:t>f insufficient number of volunteers, the Team Manager requests part-time staff who have volunteered to be called in on short notice to work</w:t>
      </w:r>
    </w:p>
    <w:p w:rsidR="00A04ECD" w:rsidRDefault="00673127" w:rsidP="00DB7286">
      <w:pPr>
        <w:pStyle w:val="ListParagraph"/>
        <w:numPr>
          <w:ilvl w:val="0"/>
          <w:numId w:val="27"/>
        </w:numPr>
        <w:spacing w:after="0" w:line="240" w:lineRule="auto"/>
        <w:jc w:val="both"/>
      </w:pPr>
      <w:r>
        <w:t>I</w:t>
      </w:r>
      <w:r w:rsidR="00A04ECD">
        <w:t>f there are still insufficient numbers of staff the standby PHN can be called in</w:t>
      </w:r>
      <w:r>
        <w:t xml:space="preserve"> to work</w:t>
      </w:r>
    </w:p>
    <w:p w:rsidR="00A04ECD" w:rsidRDefault="00A04ECD" w:rsidP="00DB7286">
      <w:pPr>
        <w:pStyle w:val="Heading1"/>
        <w:jc w:val="both"/>
      </w:pPr>
      <w:bookmarkStart w:id="3" w:name="_Toc311546434"/>
      <w:r>
        <w:t>Communicable Disease Management</w:t>
      </w:r>
      <w:bookmarkEnd w:id="3"/>
    </w:p>
    <w:p w:rsidR="00A04ECD" w:rsidRDefault="00A04ECD" w:rsidP="00DB7286">
      <w:pPr>
        <w:pStyle w:val="ListParagraph"/>
        <w:spacing w:after="0" w:line="240" w:lineRule="auto"/>
        <w:ind w:left="0"/>
        <w:jc w:val="both"/>
      </w:pPr>
      <w:r>
        <w:t>In consultation with the MOH, PHN#1 is responsible to:</w:t>
      </w:r>
    </w:p>
    <w:p w:rsidR="00A04ECD" w:rsidRDefault="00A04ECD" w:rsidP="00DB7286">
      <w:pPr>
        <w:pStyle w:val="ListParagraph"/>
        <w:numPr>
          <w:ilvl w:val="0"/>
          <w:numId w:val="28"/>
        </w:numPr>
        <w:spacing w:after="0" w:line="240" w:lineRule="auto"/>
        <w:jc w:val="both"/>
      </w:pPr>
      <w:r>
        <w:t>coordina</w:t>
      </w:r>
      <w:r w:rsidR="00673127">
        <w:t>te staffing and facilitate</w:t>
      </w:r>
      <w:r>
        <w:t xml:space="preserve"> a response in the event of an outbreak or an urgent communicable disease or issue</w:t>
      </w:r>
    </w:p>
    <w:p w:rsidR="00A04ECD" w:rsidRDefault="00A04ECD" w:rsidP="00DB7286">
      <w:pPr>
        <w:pStyle w:val="ListParagraph"/>
        <w:numPr>
          <w:ilvl w:val="0"/>
          <w:numId w:val="28"/>
        </w:numPr>
        <w:spacing w:after="0" w:line="240" w:lineRule="auto"/>
        <w:jc w:val="both"/>
      </w:pPr>
      <w:r>
        <w:t>ensure that all CD’s are properly reported to the CD unit</w:t>
      </w:r>
    </w:p>
    <w:p w:rsidR="00A04ECD" w:rsidRDefault="00673127" w:rsidP="00DB7286">
      <w:pPr>
        <w:pStyle w:val="ListParagraph"/>
        <w:numPr>
          <w:ilvl w:val="0"/>
          <w:numId w:val="28"/>
        </w:numPr>
        <w:spacing w:after="0" w:line="240" w:lineRule="auto"/>
        <w:jc w:val="both"/>
      </w:pPr>
      <w:proofErr w:type="gramStart"/>
      <w:r>
        <w:t>collaborate</w:t>
      </w:r>
      <w:proofErr w:type="gramEnd"/>
      <w:r w:rsidR="00A04ECD">
        <w:t xml:space="preserve"> and communicate updates to the </w:t>
      </w:r>
      <w:r>
        <w:t>TMOC</w:t>
      </w:r>
      <w:r w:rsidR="00A04ECD">
        <w:t xml:space="preserve"> and MOH.  This may include:</w:t>
      </w:r>
    </w:p>
    <w:p w:rsidR="00A04ECD" w:rsidRDefault="00A04ECD" w:rsidP="00DB7286">
      <w:pPr>
        <w:pStyle w:val="ListParagraph"/>
        <w:numPr>
          <w:ilvl w:val="1"/>
          <w:numId w:val="28"/>
        </w:numPr>
        <w:spacing w:after="0" w:line="240" w:lineRule="auto"/>
        <w:jc w:val="both"/>
      </w:pPr>
      <w:r>
        <w:t>Coordinating access to community area offices for immunization services</w:t>
      </w:r>
    </w:p>
    <w:p w:rsidR="00A04ECD" w:rsidRDefault="00A04ECD" w:rsidP="00DB7286">
      <w:pPr>
        <w:pStyle w:val="ListParagraph"/>
        <w:numPr>
          <w:ilvl w:val="1"/>
          <w:numId w:val="28"/>
        </w:numPr>
        <w:spacing w:after="0" w:line="240" w:lineRule="auto"/>
        <w:jc w:val="both"/>
      </w:pPr>
      <w:r>
        <w:t>Arranging for a security officer to open community area offices</w:t>
      </w:r>
    </w:p>
    <w:p w:rsidR="00A04ECD" w:rsidRDefault="00A04ECD" w:rsidP="00DB7286">
      <w:pPr>
        <w:pStyle w:val="ListParagraph"/>
        <w:numPr>
          <w:ilvl w:val="1"/>
          <w:numId w:val="28"/>
        </w:numPr>
        <w:spacing w:after="0" w:line="240" w:lineRule="auto"/>
        <w:jc w:val="both"/>
      </w:pPr>
      <w:r>
        <w:t>Advising the “ WRHA Admin - on Call” of any Communicable Disease report or situation that may cause media interest or risk to the public (e.g., inva</w:t>
      </w:r>
      <w:r w:rsidR="006E3686">
        <w:t xml:space="preserve">sive meningococcal disease, </w:t>
      </w:r>
      <w:r>
        <w:t xml:space="preserve"> significantly large enteric disease outbreak,</w:t>
      </w:r>
      <w:r w:rsidR="006E3686">
        <w:t xml:space="preserve"> emerging pathogens,</w:t>
      </w:r>
      <w:r>
        <w:t xml:space="preserve"> unexpected deaths)</w:t>
      </w:r>
    </w:p>
    <w:p w:rsidR="00A04ECD" w:rsidRPr="009D345D" w:rsidRDefault="00A04ECD" w:rsidP="00DB7286">
      <w:pPr>
        <w:pStyle w:val="Heading1"/>
        <w:jc w:val="both"/>
        <w:rPr>
          <w:rFonts w:ascii="Calibri" w:hAnsi="Calibri"/>
          <w:color w:val="auto"/>
          <w:sz w:val="22"/>
          <w:szCs w:val="22"/>
        </w:rPr>
      </w:pPr>
      <w:bookmarkStart w:id="4" w:name="_Toc311546435"/>
      <w:r>
        <w:lastRenderedPageBreak/>
        <w:t xml:space="preserve">Procedures and </w:t>
      </w:r>
      <w:r w:rsidRPr="009D345D">
        <w:t>Supplies</w:t>
      </w:r>
      <w:bookmarkEnd w:id="4"/>
    </w:p>
    <w:p w:rsidR="00A04ECD" w:rsidRDefault="00A04ECD" w:rsidP="00DB7286">
      <w:pPr>
        <w:pStyle w:val="ListParagraph"/>
        <w:spacing w:after="0" w:line="240" w:lineRule="auto"/>
        <w:ind w:left="0"/>
        <w:jc w:val="both"/>
      </w:pPr>
      <w:r>
        <w:t>Travel Health Clinic rooms are available as a central site. Please ensure the guidelines are followed:</w:t>
      </w:r>
    </w:p>
    <w:p w:rsidR="00A04ECD" w:rsidRDefault="00A04ECD" w:rsidP="00DB7286">
      <w:pPr>
        <w:pStyle w:val="ListParagraph"/>
        <w:numPr>
          <w:ilvl w:val="0"/>
          <w:numId w:val="29"/>
        </w:numPr>
        <w:spacing w:after="0" w:line="240" w:lineRule="auto"/>
        <w:jc w:val="both"/>
      </w:pPr>
      <w:r>
        <w:t xml:space="preserve">Vaccine fridge is located in Room 115A (the Travel Health lab/vaccine preparation room) the room can be access via PHN #1 and the Administrative Secretary weekend swipe card. </w:t>
      </w:r>
    </w:p>
    <w:p w:rsidR="00A04ECD" w:rsidRPr="005C13F7" w:rsidRDefault="00A04ECD" w:rsidP="00DB7286">
      <w:pPr>
        <w:pStyle w:val="ListParagraph"/>
        <w:numPr>
          <w:ilvl w:val="0"/>
          <w:numId w:val="29"/>
        </w:numPr>
        <w:spacing w:after="0" w:line="240" w:lineRule="auto"/>
        <w:jc w:val="both"/>
        <w:rPr>
          <w:lang w:val="en-US"/>
        </w:rPr>
      </w:pPr>
      <w:r>
        <w:t xml:space="preserve">Vaccines </w:t>
      </w:r>
      <w:r w:rsidR="00C1476A">
        <w:t xml:space="preserve">designated for Weekend Services </w:t>
      </w:r>
      <w:r>
        <w:t xml:space="preserve">are </w:t>
      </w:r>
      <w:r w:rsidR="00C1476A">
        <w:t xml:space="preserve">located on the </w:t>
      </w:r>
      <w:r w:rsidR="006E3686">
        <w:t xml:space="preserve">left </w:t>
      </w:r>
      <w:r>
        <w:t xml:space="preserve"> side of the </w:t>
      </w:r>
      <w:r w:rsidR="006E3686">
        <w:t xml:space="preserve">large </w:t>
      </w:r>
      <w:r>
        <w:t>white refrigerator labelled “Travel Health” located in Room 115A (the Travel Health lab/vaccine preparation room). There is also a key in the drawer directly across from the vaccine fridges.  Please ensure that the vaccine accessed from the white fridge as that will be the publicly funded vaccine.</w:t>
      </w:r>
    </w:p>
    <w:p w:rsidR="00A04ECD" w:rsidRDefault="00A04ECD" w:rsidP="00DB7286">
      <w:pPr>
        <w:pStyle w:val="ListParagraph"/>
        <w:numPr>
          <w:ilvl w:val="0"/>
          <w:numId w:val="29"/>
        </w:numPr>
        <w:spacing w:after="0" w:line="240" w:lineRule="auto"/>
        <w:jc w:val="both"/>
        <w:rPr>
          <w:lang w:val="en-US"/>
        </w:rPr>
      </w:pPr>
      <w:r>
        <w:rPr>
          <w:lang w:val="en-US"/>
        </w:rPr>
        <w:t xml:space="preserve">For most situations, the general program PHNs will know in advance what is required and will have made arrangements through their designated CD Coordinators for acquiring the vaccine (i.e. Rabies, </w:t>
      </w:r>
      <w:proofErr w:type="spellStart"/>
      <w:r>
        <w:rPr>
          <w:lang w:val="en-US"/>
        </w:rPr>
        <w:t>Hep</w:t>
      </w:r>
      <w:proofErr w:type="spellEnd"/>
      <w:r>
        <w:rPr>
          <w:lang w:val="en-US"/>
        </w:rPr>
        <w:t xml:space="preserve"> A, etc.). </w:t>
      </w:r>
    </w:p>
    <w:p w:rsidR="00A04ECD" w:rsidRDefault="00A04ECD" w:rsidP="00D03790">
      <w:pPr>
        <w:pStyle w:val="ListParagraph"/>
        <w:ind w:firstLine="45"/>
        <w:jc w:val="both"/>
        <w:rPr>
          <w:lang w:val="en-US"/>
        </w:rPr>
      </w:pPr>
      <w:r>
        <w:rPr>
          <w:lang w:val="en-US"/>
        </w:rPr>
        <w:t xml:space="preserve">If vaccine is not available it can be ordered from the Provincial Vaccine Warehouse. (After </w:t>
      </w:r>
      <w:proofErr w:type="gramStart"/>
      <w:r>
        <w:rPr>
          <w:lang w:val="en-US"/>
        </w:rPr>
        <w:t>hours</w:t>
      </w:r>
      <w:proofErr w:type="gramEnd"/>
      <w:r>
        <w:rPr>
          <w:lang w:val="en-US"/>
        </w:rPr>
        <w:t xml:space="preserve"> #204-805-4096).</w:t>
      </w:r>
      <w:r w:rsidR="00B56DB6">
        <w:rPr>
          <w:lang w:val="en-US"/>
        </w:rPr>
        <w:t xml:space="preserve"> </w:t>
      </w:r>
      <w:hyperlink r:id="rId11" w:history="1">
        <w:r w:rsidRPr="009431C8">
          <w:rPr>
            <w:rStyle w:val="Hyperlink"/>
          </w:rPr>
          <w:t>http://www.gov.mb.ca/health/publichealth/cdc/div/info.html</w:t>
        </w:r>
      </w:hyperlink>
      <w:r>
        <w:t xml:space="preserve"> </w:t>
      </w:r>
      <w:r>
        <w:rPr>
          <w:lang w:val="en-US"/>
        </w:rPr>
        <w:t>Travel Health vaccine supply should not be used.</w:t>
      </w:r>
    </w:p>
    <w:p w:rsidR="00A04ECD" w:rsidRDefault="00A04ECD" w:rsidP="00593E8E">
      <w:pPr>
        <w:pStyle w:val="ListParagraph"/>
        <w:numPr>
          <w:ilvl w:val="0"/>
          <w:numId w:val="31"/>
        </w:numPr>
      </w:pPr>
      <w:r>
        <w:t>All immunization supplies are to be used from the general public health program stock @490 Hargrave</w:t>
      </w:r>
      <w:r w:rsidR="00673127">
        <w:t xml:space="preserve"> and not from the Travel Health Clinic supply</w:t>
      </w:r>
      <w:r>
        <w:t>. Immunization supplies for weekend services are stored in the weekend supply cabinet located in Room 119.</w:t>
      </w:r>
      <w:r w:rsidR="00593E8E" w:rsidRPr="00593E8E">
        <w:t xml:space="preserve"> </w:t>
      </w:r>
      <w:hyperlink r:id="rId12" w:history="1">
        <w:r w:rsidR="00593E8E" w:rsidRPr="00D73666">
          <w:rPr>
            <w:rStyle w:val="Hyperlink"/>
          </w:rPr>
          <w:t>http://home.wrha.mb.ca/prog/pph/files/weekendPHNSeatingchart.pdf</w:t>
        </w:r>
      </w:hyperlink>
      <w:r w:rsidR="00673127">
        <w:rPr>
          <w:rStyle w:val="Hyperlink"/>
        </w:rPr>
        <w:t xml:space="preserve"> </w:t>
      </w:r>
      <w:r w:rsidR="00360E24">
        <w:t xml:space="preserve"> </w:t>
      </w:r>
      <w:proofErr w:type="gramStart"/>
      <w:r w:rsidR="00360E24">
        <w:t>If</w:t>
      </w:r>
      <w:proofErr w:type="gramEnd"/>
      <w:r w:rsidR="00360E24">
        <w:t xml:space="preserve"> supplies need to be replenished ensure you </w:t>
      </w:r>
      <w:r w:rsidR="00593E8E">
        <w:t xml:space="preserve">note this on the </w:t>
      </w:r>
      <w:r w:rsidR="00593E8E" w:rsidRPr="00593E8E">
        <w:rPr>
          <w:b/>
        </w:rPr>
        <w:t>Weekend Services Daily Comment Sheet.</w:t>
      </w:r>
      <w:r w:rsidR="00593E8E">
        <w:t xml:space="preserve"> </w:t>
      </w:r>
      <w:r>
        <w:t xml:space="preserve">  </w:t>
      </w:r>
    </w:p>
    <w:p w:rsidR="00A04ECD" w:rsidRPr="007D274D" w:rsidRDefault="00A04ECD" w:rsidP="007D274D">
      <w:pPr>
        <w:pStyle w:val="ListParagraph"/>
        <w:numPr>
          <w:ilvl w:val="0"/>
          <w:numId w:val="31"/>
        </w:numPr>
        <w:jc w:val="both"/>
        <w:rPr>
          <w:rStyle w:val="Hyperlink"/>
          <w:color w:val="auto"/>
          <w:u w:val="none"/>
        </w:rPr>
      </w:pPr>
      <w:r>
        <w:t xml:space="preserve">The Immunization consent forms (adult and child forms) as well as the record cards </w:t>
      </w:r>
      <w:r w:rsidR="007D274D">
        <w:t>are available on</w:t>
      </w:r>
      <w:r>
        <w:t xml:space="preserve"> Manitoba Health website:</w:t>
      </w:r>
      <w:r w:rsidR="007D274D">
        <w:t xml:space="preserve"> </w:t>
      </w:r>
      <w:hyperlink r:id="rId13" w:history="1">
        <w:r w:rsidRPr="009431C8">
          <w:rPr>
            <w:rStyle w:val="Hyperlink"/>
          </w:rPr>
          <w:t>http://www.gov.mb.ca/health/publichealth/cdc/div/info.html</w:t>
        </w:r>
      </w:hyperlink>
    </w:p>
    <w:p w:rsidR="007D274D" w:rsidRDefault="007D274D" w:rsidP="007D274D">
      <w:pPr>
        <w:pStyle w:val="ListParagraph"/>
        <w:numPr>
          <w:ilvl w:val="0"/>
          <w:numId w:val="35"/>
        </w:numPr>
        <w:jc w:val="both"/>
      </w:pPr>
      <w:r>
        <w:t xml:space="preserve">If an AEFI occurs refer to WRHA Regional Immunization Manual for the required resources. </w:t>
      </w:r>
      <w:hyperlink r:id="rId14" w:history="1">
        <w:r w:rsidRPr="00ED0389">
          <w:rPr>
            <w:rStyle w:val="Hyperlink"/>
          </w:rPr>
          <w:t>http://www.wrha.mb.ca/professionals/immunization/03-04.php</w:t>
        </w:r>
      </w:hyperlink>
    </w:p>
    <w:p w:rsidR="00A04ECD" w:rsidRDefault="00A04ECD" w:rsidP="00DB7286">
      <w:pPr>
        <w:pStyle w:val="ListParagraph"/>
        <w:numPr>
          <w:ilvl w:val="0"/>
          <w:numId w:val="31"/>
        </w:numPr>
        <w:jc w:val="both"/>
      </w:pPr>
      <w:r>
        <w:t xml:space="preserve">Fact sheets are located at: </w:t>
      </w:r>
      <w:hyperlink r:id="rId15" w:history="1">
        <w:r w:rsidRPr="00207139">
          <w:rPr>
            <w:rStyle w:val="Hyperlink"/>
          </w:rPr>
          <w:t>http://www.gov.mb.ca/health/publichealth/cdc/div/vaccines.html</w:t>
        </w:r>
      </w:hyperlink>
      <w:r>
        <w:t xml:space="preserve">                                                                                                                                              </w:t>
      </w:r>
    </w:p>
    <w:p w:rsidR="00A04ECD" w:rsidRDefault="00A04ECD" w:rsidP="00DB7286">
      <w:pPr>
        <w:pStyle w:val="ListParagraph"/>
        <w:numPr>
          <w:ilvl w:val="0"/>
          <w:numId w:val="31"/>
        </w:numPr>
        <w:spacing w:after="0" w:line="240" w:lineRule="auto"/>
        <w:jc w:val="both"/>
      </w:pPr>
      <w:r>
        <w:t>The Travel Health Clinic has evening hours of operation during the week. Please contact the Travel Health Clinic Coordinator at 204-940-2538 if the clinic site is needed on weekday evenings.</w:t>
      </w:r>
    </w:p>
    <w:p w:rsidR="00A04ECD" w:rsidRPr="00A70CA1" w:rsidRDefault="00A04ECD" w:rsidP="00DB7286">
      <w:pPr>
        <w:pStyle w:val="Heading1"/>
        <w:jc w:val="both"/>
      </w:pPr>
      <w:r>
        <w:t xml:space="preserve"> </w:t>
      </w:r>
      <w:bookmarkStart w:id="5" w:name="_Toc311546436"/>
      <w:r w:rsidRPr="00A70CA1">
        <w:t>Documentation</w:t>
      </w:r>
      <w:bookmarkEnd w:id="5"/>
    </w:p>
    <w:p w:rsidR="00A04ECD" w:rsidRDefault="00A04ECD" w:rsidP="00DB7286">
      <w:pPr>
        <w:spacing w:after="0" w:line="240" w:lineRule="auto"/>
        <w:jc w:val="both"/>
      </w:pPr>
    </w:p>
    <w:p w:rsidR="00A04ECD" w:rsidRDefault="00A04ECD" w:rsidP="00DB7286">
      <w:pPr>
        <w:pStyle w:val="ListParagraph"/>
        <w:spacing w:after="0" w:line="240" w:lineRule="auto"/>
        <w:ind w:left="0"/>
        <w:jc w:val="both"/>
        <w:rPr>
          <w:b/>
        </w:rPr>
      </w:pPr>
      <w:r>
        <w:rPr>
          <w:b/>
        </w:rPr>
        <w:t xml:space="preserve">IPHIS documentation </w:t>
      </w:r>
    </w:p>
    <w:p w:rsidR="00A04ECD" w:rsidRDefault="00A04ECD" w:rsidP="00DB7286">
      <w:pPr>
        <w:pStyle w:val="ListParagraph"/>
        <w:spacing w:after="0" w:line="240" w:lineRule="auto"/>
        <w:ind w:left="0"/>
        <w:jc w:val="both"/>
      </w:pPr>
      <w:r>
        <w:t xml:space="preserve">IPHIS is an intranet application that can be accessed from any computer.  It does NOT require any installment.  </w:t>
      </w:r>
    </w:p>
    <w:p w:rsidR="00A04ECD" w:rsidRDefault="00A04ECD" w:rsidP="00DB7286">
      <w:pPr>
        <w:pStyle w:val="ListParagraph"/>
        <w:numPr>
          <w:ilvl w:val="0"/>
          <w:numId w:val="32"/>
        </w:numPr>
        <w:spacing w:after="0" w:line="240" w:lineRule="auto"/>
        <w:jc w:val="both"/>
      </w:pPr>
      <w:r>
        <w:t xml:space="preserve">Log in as usual </w:t>
      </w:r>
    </w:p>
    <w:p w:rsidR="00A04ECD" w:rsidRDefault="00A04ECD" w:rsidP="00DB7286">
      <w:pPr>
        <w:pStyle w:val="ListParagraph"/>
        <w:numPr>
          <w:ilvl w:val="0"/>
          <w:numId w:val="32"/>
        </w:numPr>
        <w:spacing w:after="0" w:line="240" w:lineRule="auto"/>
        <w:jc w:val="both"/>
      </w:pPr>
      <w:r>
        <w:t>Go to intranet explorer, in the browser type</w:t>
      </w:r>
      <w:r w:rsidR="00673127">
        <w:t>,</w:t>
      </w:r>
      <w:r>
        <w:t xml:space="preserve"> </w:t>
      </w:r>
      <w:hyperlink r:id="rId16" w:history="1">
        <w:r w:rsidRPr="009431C8">
          <w:rPr>
            <w:rStyle w:val="Hyperlink"/>
          </w:rPr>
          <w:t>http://iphis.manitoba-ehealth.ca/phis/start.jsp</w:t>
        </w:r>
      </w:hyperlink>
    </w:p>
    <w:p w:rsidR="00A04ECD" w:rsidRDefault="00A04ECD" w:rsidP="00673127">
      <w:pPr>
        <w:pStyle w:val="ListParagraph"/>
        <w:spacing w:after="0" w:line="240" w:lineRule="auto"/>
        <w:ind w:left="0" w:firstLine="720"/>
        <w:jc w:val="both"/>
      </w:pPr>
      <w:proofErr w:type="gramStart"/>
      <w:r>
        <w:t>to</w:t>
      </w:r>
      <w:proofErr w:type="gramEnd"/>
      <w:r>
        <w:t xml:space="preserve"> gain access to the application</w:t>
      </w:r>
    </w:p>
    <w:p w:rsidR="00A04ECD" w:rsidRDefault="00A04ECD" w:rsidP="00DB7286">
      <w:pPr>
        <w:pStyle w:val="ListParagraph"/>
        <w:numPr>
          <w:ilvl w:val="0"/>
          <w:numId w:val="32"/>
        </w:numPr>
        <w:spacing w:after="0" w:line="240" w:lineRule="auto"/>
        <w:jc w:val="both"/>
      </w:pPr>
      <w:r>
        <w:t>Passwords would have already been assigned to PHN</w:t>
      </w:r>
    </w:p>
    <w:p w:rsidR="00A04ECD" w:rsidRDefault="00673127" w:rsidP="00DB7286">
      <w:pPr>
        <w:pStyle w:val="ListParagraph"/>
        <w:numPr>
          <w:ilvl w:val="0"/>
          <w:numId w:val="32"/>
        </w:numPr>
        <w:jc w:val="both"/>
        <w:rPr>
          <w:lang w:val="en-US"/>
        </w:rPr>
      </w:pPr>
      <w:r>
        <w:rPr>
          <w:lang w:val="en-US"/>
        </w:rPr>
        <w:t>Documentation</w:t>
      </w:r>
      <w:r w:rsidR="00A04ECD">
        <w:rPr>
          <w:lang w:val="en-US"/>
        </w:rPr>
        <w:t xml:space="preserve"> needs to occur </w:t>
      </w:r>
      <w:r>
        <w:rPr>
          <w:lang w:val="en-US"/>
        </w:rPr>
        <w:t xml:space="preserve">in IPHIS </w:t>
      </w:r>
      <w:r w:rsidR="00A04ECD">
        <w:rPr>
          <w:lang w:val="en-US"/>
        </w:rPr>
        <w:t xml:space="preserve">for all CDs.  If a referral comes in on the weekend, please ensure miscellaneous documentation that cannot be entered into IPHIS be sent to the CD Unit. </w:t>
      </w:r>
      <w:r w:rsidR="00740E61">
        <w:rPr>
          <w:lang w:val="en-US"/>
        </w:rPr>
        <w:lastRenderedPageBreak/>
        <w:t xml:space="preserve">This can be placed in the basket labelled “CD Unit”. </w:t>
      </w:r>
      <w:r w:rsidR="00A04ECD">
        <w:rPr>
          <w:lang w:val="en-US"/>
        </w:rPr>
        <w:t>Public Health Nursing Variance forms are used to transfer Communicable Disease referrals to w</w:t>
      </w:r>
      <w:r w:rsidR="00740E61">
        <w:rPr>
          <w:lang w:val="en-US"/>
        </w:rPr>
        <w:t xml:space="preserve">eekend services but there is no </w:t>
      </w:r>
      <w:r w:rsidR="00A04ECD">
        <w:rPr>
          <w:lang w:val="en-US"/>
        </w:rPr>
        <w:t xml:space="preserve">expectation for documentation to be on this form.  All documentation is to be done in IPHIS. </w:t>
      </w:r>
    </w:p>
    <w:p w:rsidR="007D274D" w:rsidRDefault="007D274D" w:rsidP="007D274D">
      <w:pPr>
        <w:pStyle w:val="ListParagraph"/>
        <w:jc w:val="both"/>
        <w:rPr>
          <w:lang w:val="en-US"/>
        </w:rPr>
      </w:pPr>
    </w:p>
    <w:p w:rsidR="007D274D" w:rsidRPr="007D274D" w:rsidRDefault="00740E61" w:rsidP="007D274D">
      <w:pPr>
        <w:pStyle w:val="ListParagraph"/>
        <w:spacing w:after="0" w:line="240" w:lineRule="auto"/>
        <w:ind w:left="0"/>
        <w:jc w:val="both"/>
        <w:rPr>
          <w:b/>
        </w:rPr>
      </w:pPr>
      <w:r>
        <w:rPr>
          <w:b/>
        </w:rPr>
        <w:t>PHIMS</w:t>
      </w:r>
      <w:r w:rsidR="007D274D">
        <w:rPr>
          <w:b/>
        </w:rPr>
        <w:t xml:space="preserve"> d</w:t>
      </w:r>
      <w:r w:rsidR="007D274D" w:rsidRPr="007D274D">
        <w:rPr>
          <w:b/>
        </w:rPr>
        <w:t>ocumentation</w:t>
      </w:r>
      <w:r w:rsidR="007D274D">
        <w:rPr>
          <w:b/>
        </w:rPr>
        <w:t>:</w:t>
      </w:r>
    </w:p>
    <w:p w:rsidR="00A04ECD" w:rsidRDefault="00A04ECD" w:rsidP="00DB7286">
      <w:pPr>
        <w:spacing w:after="0" w:line="240" w:lineRule="auto"/>
        <w:jc w:val="both"/>
      </w:pPr>
    </w:p>
    <w:p w:rsidR="00616E34" w:rsidRDefault="00616E34" w:rsidP="007D274D">
      <w:pPr>
        <w:widowControl w:val="0"/>
        <w:autoSpaceDE w:val="0"/>
        <w:autoSpaceDN w:val="0"/>
        <w:adjustRightInd w:val="0"/>
        <w:spacing w:after="100" w:afterAutospacing="1" w:line="360" w:lineRule="auto"/>
        <w:rPr>
          <w:rFonts w:asciiTheme="minorHAnsi" w:hAnsiTheme="minorHAnsi" w:cs="Arial"/>
          <w:color w:val="000000"/>
        </w:rPr>
      </w:pPr>
      <w:r>
        <w:rPr>
          <w:rFonts w:asciiTheme="minorHAnsi" w:hAnsiTheme="minorHAnsi" w:cs="Arial"/>
          <w:color w:val="000000"/>
        </w:rPr>
        <w:t>Immunizations provided on weekends must all be docu</w:t>
      </w:r>
      <w:r w:rsidR="00740E61">
        <w:rPr>
          <w:rFonts w:asciiTheme="minorHAnsi" w:hAnsiTheme="minorHAnsi" w:cs="Arial"/>
          <w:color w:val="000000"/>
        </w:rPr>
        <w:t>mented in PHIMS</w:t>
      </w:r>
      <w:r>
        <w:rPr>
          <w:rFonts w:asciiTheme="minorHAnsi" w:hAnsiTheme="minorHAnsi" w:cs="Arial"/>
          <w:color w:val="000000"/>
        </w:rPr>
        <w:t xml:space="preserve">. </w:t>
      </w:r>
      <w:r w:rsidR="0023694F">
        <w:rPr>
          <w:rFonts w:asciiTheme="minorHAnsi" w:hAnsiTheme="minorHAnsi" w:cs="Arial"/>
          <w:color w:val="000000"/>
        </w:rPr>
        <w:t>This can be done during weekend hours if the vaccine has been pre-ord</w:t>
      </w:r>
      <w:r w:rsidR="00740E61">
        <w:rPr>
          <w:rFonts w:asciiTheme="minorHAnsi" w:hAnsiTheme="minorHAnsi" w:cs="Arial"/>
          <w:color w:val="000000"/>
        </w:rPr>
        <w:t>ered and entered in the PHIMS</w:t>
      </w:r>
      <w:r w:rsidR="0023694F">
        <w:rPr>
          <w:rFonts w:asciiTheme="minorHAnsi" w:hAnsiTheme="minorHAnsi" w:cs="Arial"/>
          <w:color w:val="000000"/>
        </w:rPr>
        <w:t xml:space="preserve"> inventory for the </w:t>
      </w:r>
      <w:r w:rsidR="0023694F" w:rsidRPr="0023694F">
        <w:rPr>
          <w:rFonts w:cs="Arial"/>
          <w:b/>
          <w:color w:val="000000"/>
        </w:rPr>
        <w:t xml:space="preserve">WRHA </w:t>
      </w:r>
      <w:r w:rsidR="0023694F">
        <w:rPr>
          <w:rFonts w:cs="Arial"/>
          <w:b/>
          <w:color w:val="000000"/>
        </w:rPr>
        <w:t>C</w:t>
      </w:r>
      <w:r w:rsidR="0023694F" w:rsidRPr="0023694F">
        <w:rPr>
          <w:rFonts w:cs="Arial"/>
          <w:b/>
          <w:color w:val="000000"/>
        </w:rPr>
        <w:t>ommunicable Disease Unit</w:t>
      </w:r>
      <w:r w:rsidR="0023694F">
        <w:rPr>
          <w:rFonts w:cs="Arial"/>
          <w:b/>
          <w:color w:val="000000"/>
        </w:rPr>
        <w:t xml:space="preserve"> </w:t>
      </w:r>
      <w:r w:rsidR="0023694F" w:rsidRPr="0023694F">
        <w:rPr>
          <w:rFonts w:cs="Arial"/>
          <w:color w:val="000000"/>
        </w:rPr>
        <w:t>holding point</w:t>
      </w:r>
      <w:r w:rsidR="0023694F">
        <w:rPr>
          <w:rFonts w:cs="Arial"/>
          <w:color w:val="000000"/>
        </w:rPr>
        <w:t>. If the vaccine has been ordered after hours it will not be listed in the inventory.  In these situations, notify the CD unit on the next regular working day to have the vaccine added t</w:t>
      </w:r>
      <w:r w:rsidR="00740E61">
        <w:rPr>
          <w:rFonts w:cs="Arial"/>
          <w:color w:val="000000"/>
        </w:rPr>
        <w:t>o the inventory so that PHIMS</w:t>
      </w:r>
      <w:r w:rsidR="0023694F">
        <w:rPr>
          <w:rFonts w:cs="Arial"/>
          <w:color w:val="000000"/>
        </w:rPr>
        <w:t xml:space="preserve"> documentation can be completed.</w:t>
      </w:r>
    </w:p>
    <w:p w:rsidR="00616E34" w:rsidRDefault="00616E34" w:rsidP="007D274D">
      <w:pPr>
        <w:widowControl w:val="0"/>
        <w:autoSpaceDE w:val="0"/>
        <w:autoSpaceDN w:val="0"/>
        <w:adjustRightInd w:val="0"/>
        <w:spacing w:after="100" w:afterAutospacing="1" w:line="360" w:lineRule="auto"/>
        <w:rPr>
          <w:rFonts w:asciiTheme="minorHAnsi" w:hAnsiTheme="minorHAnsi" w:cs="Arial"/>
          <w:color w:val="000000"/>
        </w:rPr>
      </w:pPr>
      <w:r>
        <w:rPr>
          <w:rFonts w:asciiTheme="minorHAnsi" w:hAnsiTheme="minorHAnsi" w:cs="Arial"/>
          <w:color w:val="000000"/>
        </w:rPr>
        <w:t>PHN’s will have to change default settings to the WRHA Communicable Disease Unit holding point to allow access to the correct inventory. See steps below:</w:t>
      </w:r>
    </w:p>
    <w:p w:rsidR="00B42C83" w:rsidRPr="00B42C83" w:rsidRDefault="00B56DB6" w:rsidP="00B42C83">
      <w:pPr>
        <w:widowControl w:val="0"/>
        <w:numPr>
          <w:ilvl w:val="0"/>
          <w:numId w:val="36"/>
        </w:numPr>
        <w:autoSpaceDE w:val="0"/>
        <w:autoSpaceDN w:val="0"/>
        <w:adjustRightInd w:val="0"/>
        <w:spacing w:after="100" w:afterAutospacing="1" w:line="360" w:lineRule="auto"/>
        <w:rPr>
          <w:rFonts w:asciiTheme="minorHAnsi" w:hAnsiTheme="minorHAnsi" w:cs="Arial"/>
          <w:i/>
          <w:color w:val="000000"/>
        </w:rPr>
      </w:pPr>
      <w:r>
        <w:rPr>
          <w:rFonts w:asciiTheme="minorHAnsi" w:hAnsiTheme="minorHAnsi"/>
          <w:noProof/>
        </w:rPr>
        <w:pict>
          <v:shapetype id="_x0000_t32" coordsize="21600,21600" o:spt="32" o:oned="t" path="m,l21600,21600e" filled="f">
            <v:path arrowok="t" fillok="f" o:connecttype="none"/>
            <o:lock v:ext="edit" shapetype="t"/>
          </v:shapetype>
          <v:shape id="_x0000_s1027" type="#_x0000_t32" style="position:absolute;left:0;text-align:left;margin-left:314.45pt;margin-top:8.25pt;width:22.2pt;height:.6pt;flip:y;z-index:251659264" o:connectortype="straight">
            <v:stroke endarrow="block"/>
          </v:shape>
        </w:pict>
      </w:r>
      <w:r w:rsidR="00B42C83" w:rsidRPr="00B42C83">
        <w:rPr>
          <w:rFonts w:asciiTheme="minorHAnsi" w:hAnsiTheme="minorHAnsi" w:cs="Arial"/>
          <w:color w:val="000000"/>
        </w:rPr>
        <w:t xml:space="preserve">Log into PHIMS     </w:t>
      </w:r>
      <w:r>
        <w:rPr>
          <w:rFonts w:asciiTheme="minorHAnsi" w:hAnsiTheme="minorHAnsi" w:cs="Arial"/>
          <w:color w:val="000000"/>
        </w:rPr>
        <w:t xml:space="preserve"> (</w:t>
      </w:r>
      <w:hyperlink r:id="rId17" w:history="1">
        <w:r w:rsidR="007D274D" w:rsidRPr="00B42C83">
          <w:rPr>
            <w:rStyle w:val="Hyperlink"/>
            <w:rFonts w:asciiTheme="minorHAnsi" w:hAnsiTheme="minorHAnsi" w:cs="Arial"/>
          </w:rPr>
          <w:t>https://panorama.manitoba-ehealth.ca/</w:t>
        </w:r>
      </w:hyperlink>
      <w:r w:rsidR="00B42C83" w:rsidRPr="00B42C83">
        <w:rPr>
          <w:rFonts w:asciiTheme="minorHAnsi" w:hAnsiTheme="minorHAnsi" w:cs="Arial"/>
          <w:color w:val="000000"/>
        </w:rPr>
        <w:t xml:space="preserve">) </w:t>
      </w:r>
      <w:r w:rsidR="007D274D" w:rsidRPr="00B42C83">
        <w:rPr>
          <w:rFonts w:asciiTheme="minorHAnsi" w:hAnsiTheme="minorHAnsi" w:cs="Arial"/>
          <w:color w:val="000000"/>
        </w:rPr>
        <w:t xml:space="preserve">             ensure that your role (MB_PUBLIC HEALTH NURSE</w:t>
      </w:r>
      <w:bookmarkStart w:id="6" w:name="_GoBack"/>
      <w:bookmarkEnd w:id="6"/>
      <w:r w:rsidR="007D274D" w:rsidRPr="00B42C83">
        <w:rPr>
          <w:rFonts w:asciiTheme="minorHAnsi" w:hAnsiTheme="minorHAnsi" w:cs="Arial"/>
          <w:color w:val="000000"/>
        </w:rPr>
        <w:t xml:space="preserve">) and language is correct and click </w:t>
      </w:r>
      <w:r w:rsidR="007D274D" w:rsidRPr="00B42C83">
        <w:rPr>
          <w:rFonts w:asciiTheme="minorHAnsi" w:hAnsiTheme="minorHAnsi" w:cs="Arial"/>
          <w:b/>
          <w:color w:val="000000"/>
        </w:rPr>
        <w:t>Continue.</w:t>
      </w:r>
      <w:r w:rsidR="007D274D" w:rsidRPr="00B42C83">
        <w:rPr>
          <w:rFonts w:asciiTheme="minorHAnsi" w:hAnsiTheme="minorHAnsi" w:cs="Arial"/>
          <w:color w:val="000000"/>
        </w:rPr>
        <w:t xml:space="preserve"> </w:t>
      </w:r>
      <w:r w:rsidR="00B42C83">
        <w:rPr>
          <w:rFonts w:asciiTheme="minorHAnsi" w:hAnsiTheme="minorHAnsi" w:cs="Arial"/>
          <w:color w:val="000000"/>
        </w:rPr>
        <w:t xml:space="preserve"> </w:t>
      </w:r>
      <w:r w:rsidR="00B42C83" w:rsidRPr="00B42C83">
        <w:rPr>
          <w:rFonts w:asciiTheme="minorHAnsi" w:hAnsiTheme="minorHAnsi" w:cs="Arial"/>
          <w:i/>
          <w:color w:val="000000"/>
        </w:rPr>
        <w:t>( you may need to copy and paste above URL  into Firefox to access PHIMS)</w:t>
      </w:r>
    </w:p>
    <w:p w:rsidR="007D274D" w:rsidRPr="007D274D" w:rsidRDefault="007D274D" w:rsidP="007D274D">
      <w:pPr>
        <w:widowControl w:val="0"/>
        <w:numPr>
          <w:ilvl w:val="0"/>
          <w:numId w:val="36"/>
        </w:numPr>
        <w:autoSpaceDE w:val="0"/>
        <w:autoSpaceDN w:val="0"/>
        <w:adjustRightInd w:val="0"/>
        <w:spacing w:after="100" w:afterAutospacing="1" w:line="360" w:lineRule="auto"/>
        <w:rPr>
          <w:rFonts w:asciiTheme="minorHAnsi" w:hAnsiTheme="minorHAnsi" w:cs="Arial"/>
          <w:color w:val="000000"/>
        </w:rPr>
      </w:pPr>
      <w:r w:rsidRPr="007D274D">
        <w:rPr>
          <w:rFonts w:asciiTheme="minorHAnsi" w:hAnsiTheme="minorHAnsi" w:cs="Arial"/>
          <w:color w:val="000000"/>
        </w:rPr>
        <w:t xml:space="preserve">Verify the </w:t>
      </w:r>
      <w:r w:rsidRPr="007D274D">
        <w:rPr>
          <w:rFonts w:asciiTheme="minorHAnsi" w:hAnsiTheme="minorHAnsi" w:cs="Arial"/>
          <w:b/>
          <w:color w:val="000000"/>
        </w:rPr>
        <w:t>Service Delivery Location</w:t>
      </w:r>
      <w:r w:rsidRPr="007D274D">
        <w:rPr>
          <w:rFonts w:asciiTheme="minorHAnsi" w:hAnsiTheme="minorHAnsi" w:cs="Arial"/>
          <w:color w:val="000000"/>
        </w:rPr>
        <w:t xml:space="preserve"> (SDL) is set to your region ( Winnipeg Health SDL) </w:t>
      </w:r>
    </w:p>
    <w:p w:rsidR="007D274D" w:rsidRPr="007D274D" w:rsidRDefault="007D274D" w:rsidP="007D274D">
      <w:pPr>
        <w:widowControl w:val="0"/>
        <w:numPr>
          <w:ilvl w:val="0"/>
          <w:numId w:val="36"/>
        </w:numPr>
        <w:autoSpaceDE w:val="0"/>
        <w:autoSpaceDN w:val="0"/>
        <w:adjustRightInd w:val="0"/>
        <w:spacing w:after="100" w:afterAutospacing="1" w:line="360" w:lineRule="auto"/>
        <w:rPr>
          <w:rFonts w:asciiTheme="minorHAnsi" w:hAnsiTheme="minorHAnsi" w:cs="Arial"/>
          <w:color w:val="000000"/>
        </w:rPr>
      </w:pPr>
      <w:r w:rsidRPr="007D274D">
        <w:rPr>
          <w:rFonts w:asciiTheme="minorHAnsi" w:hAnsiTheme="minorHAnsi" w:cs="Arial"/>
          <w:color w:val="000000"/>
        </w:rPr>
        <w:t xml:space="preserve">Go into </w:t>
      </w:r>
      <w:r w:rsidRPr="007D274D">
        <w:rPr>
          <w:rFonts w:asciiTheme="minorHAnsi" w:hAnsiTheme="minorHAnsi" w:cs="Arial"/>
          <w:b/>
          <w:color w:val="000000"/>
        </w:rPr>
        <w:t>My Account</w:t>
      </w:r>
      <w:r w:rsidRPr="007D274D">
        <w:rPr>
          <w:rFonts w:asciiTheme="minorHAnsi" w:hAnsiTheme="minorHAnsi" w:cs="Arial"/>
          <w:color w:val="000000"/>
        </w:rPr>
        <w:t xml:space="preserve"> button on the top of the page and select </w:t>
      </w:r>
      <w:r w:rsidRPr="007D274D">
        <w:rPr>
          <w:rFonts w:asciiTheme="minorHAnsi" w:hAnsiTheme="minorHAnsi" w:cs="Arial"/>
          <w:b/>
          <w:color w:val="000000"/>
        </w:rPr>
        <w:t xml:space="preserve">Immunization Defaults </w:t>
      </w:r>
    </w:p>
    <w:p w:rsidR="007D274D" w:rsidRPr="007D274D" w:rsidRDefault="007D274D" w:rsidP="007D274D">
      <w:pPr>
        <w:widowControl w:val="0"/>
        <w:numPr>
          <w:ilvl w:val="0"/>
          <w:numId w:val="36"/>
        </w:numPr>
        <w:autoSpaceDE w:val="0"/>
        <w:autoSpaceDN w:val="0"/>
        <w:adjustRightInd w:val="0"/>
        <w:spacing w:after="100" w:afterAutospacing="1" w:line="360" w:lineRule="auto"/>
        <w:rPr>
          <w:rFonts w:asciiTheme="minorHAnsi" w:hAnsiTheme="minorHAnsi" w:cs="Arial"/>
          <w:color w:val="000000"/>
        </w:rPr>
      </w:pPr>
      <w:r w:rsidRPr="007D274D">
        <w:rPr>
          <w:rFonts w:asciiTheme="minorHAnsi" w:hAnsiTheme="minorHAnsi" w:cs="Arial"/>
          <w:color w:val="000000"/>
        </w:rPr>
        <w:t xml:space="preserve">Click </w:t>
      </w:r>
      <w:r w:rsidRPr="007D274D">
        <w:rPr>
          <w:rFonts w:asciiTheme="minorHAnsi" w:hAnsiTheme="minorHAnsi" w:cs="Arial"/>
          <w:b/>
          <w:color w:val="000000"/>
        </w:rPr>
        <w:t>Update</w:t>
      </w:r>
      <w:r w:rsidRPr="007D274D">
        <w:rPr>
          <w:rFonts w:asciiTheme="minorHAnsi" w:hAnsiTheme="minorHAnsi" w:cs="Arial"/>
          <w:color w:val="000000"/>
        </w:rPr>
        <w:t xml:space="preserve"> </w:t>
      </w:r>
    </w:p>
    <w:p w:rsidR="007D274D" w:rsidRPr="007D274D" w:rsidRDefault="007D274D" w:rsidP="007D274D">
      <w:pPr>
        <w:widowControl w:val="0"/>
        <w:numPr>
          <w:ilvl w:val="0"/>
          <w:numId w:val="36"/>
        </w:numPr>
        <w:autoSpaceDE w:val="0"/>
        <w:autoSpaceDN w:val="0"/>
        <w:adjustRightInd w:val="0"/>
        <w:spacing w:after="100" w:afterAutospacing="1" w:line="360" w:lineRule="auto"/>
        <w:rPr>
          <w:rFonts w:asciiTheme="minorHAnsi" w:hAnsiTheme="minorHAnsi" w:cs="Arial"/>
          <w:color w:val="000000"/>
        </w:rPr>
      </w:pPr>
      <w:r w:rsidRPr="007D274D">
        <w:rPr>
          <w:rFonts w:asciiTheme="minorHAnsi" w:hAnsiTheme="minorHAnsi" w:cs="Arial"/>
          <w:color w:val="000000"/>
        </w:rPr>
        <w:t>Ensure that the</w:t>
      </w:r>
      <w:r w:rsidRPr="007D274D">
        <w:rPr>
          <w:rFonts w:asciiTheme="minorHAnsi" w:hAnsiTheme="minorHAnsi" w:cs="Arial"/>
          <w:i/>
          <w:color w:val="000000"/>
        </w:rPr>
        <w:t xml:space="preserve"> Organization</w:t>
      </w:r>
      <w:r w:rsidRPr="007D274D">
        <w:rPr>
          <w:rFonts w:asciiTheme="minorHAnsi" w:hAnsiTheme="minorHAnsi" w:cs="Arial"/>
          <w:color w:val="000000"/>
        </w:rPr>
        <w:t xml:space="preserve"> (region) is Winnipeg Health (including Churchill) if not click the embedded</w:t>
      </w:r>
      <w:r w:rsidRPr="007D274D">
        <w:rPr>
          <w:rFonts w:asciiTheme="minorHAnsi" w:hAnsiTheme="minorHAnsi" w:cs="Arial"/>
          <w:b/>
          <w:color w:val="000000"/>
        </w:rPr>
        <w:t xml:space="preserve"> Find</w:t>
      </w:r>
      <w:r w:rsidRPr="007D274D">
        <w:rPr>
          <w:rFonts w:asciiTheme="minorHAnsi" w:hAnsiTheme="minorHAnsi" w:cs="Arial"/>
          <w:color w:val="000000"/>
        </w:rPr>
        <w:t xml:space="preserve"> button start to type Winnipeg Health (including Churchill) and select it from the drop down list. Click </w:t>
      </w:r>
      <w:r w:rsidRPr="007D274D">
        <w:rPr>
          <w:rFonts w:asciiTheme="minorHAnsi" w:hAnsiTheme="minorHAnsi" w:cs="Arial"/>
          <w:b/>
          <w:color w:val="000000"/>
        </w:rPr>
        <w:t>Select.</w:t>
      </w:r>
      <w:r w:rsidRPr="007D274D">
        <w:rPr>
          <w:rFonts w:asciiTheme="minorHAnsi" w:hAnsiTheme="minorHAnsi" w:cs="Arial"/>
          <w:color w:val="000000"/>
        </w:rPr>
        <w:t xml:space="preserve"> </w:t>
      </w:r>
    </w:p>
    <w:p w:rsidR="007D274D" w:rsidRPr="007D274D" w:rsidRDefault="007D274D" w:rsidP="007D274D">
      <w:pPr>
        <w:widowControl w:val="0"/>
        <w:numPr>
          <w:ilvl w:val="0"/>
          <w:numId w:val="36"/>
        </w:numPr>
        <w:autoSpaceDE w:val="0"/>
        <w:autoSpaceDN w:val="0"/>
        <w:adjustRightInd w:val="0"/>
        <w:spacing w:after="100" w:afterAutospacing="1" w:line="360" w:lineRule="auto"/>
        <w:rPr>
          <w:rFonts w:asciiTheme="minorHAnsi" w:hAnsiTheme="minorHAnsi" w:cs="Arial"/>
          <w:color w:val="000000"/>
        </w:rPr>
      </w:pPr>
      <w:r w:rsidRPr="007D274D">
        <w:rPr>
          <w:rFonts w:asciiTheme="minorHAnsi" w:hAnsiTheme="minorHAnsi" w:cs="Arial"/>
          <w:color w:val="000000"/>
        </w:rPr>
        <w:t xml:space="preserve">Select the </w:t>
      </w:r>
      <w:r w:rsidRPr="007D274D">
        <w:rPr>
          <w:rFonts w:asciiTheme="minorHAnsi" w:hAnsiTheme="minorHAnsi" w:cs="Arial"/>
          <w:b/>
          <w:color w:val="000000"/>
        </w:rPr>
        <w:t xml:space="preserve">Holding Point Name </w:t>
      </w:r>
      <w:r w:rsidRPr="007D274D">
        <w:rPr>
          <w:rFonts w:asciiTheme="minorHAnsi" w:hAnsiTheme="minorHAnsi" w:cs="Arial"/>
          <w:color w:val="000000"/>
        </w:rPr>
        <w:t xml:space="preserve">from the drop down menu.. for weekend vaccine administration at 490 Hargrave select </w:t>
      </w:r>
      <w:r w:rsidRPr="007D274D">
        <w:rPr>
          <w:rFonts w:asciiTheme="minorHAnsi" w:hAnsiTheme="minorHAnsi" w:cs="Arial"/>
          <w:b/>
          <w:color w:val="000000"/>
        </w:rPr>
        <w:t>WRHA Communicable Disease Unit</w:t>
      </w:r>
      <w:r w:rsidRPr="007D274D">
        <w:rPr>
          <w:rFonts w:asciiTheme="minorHAnsi" w:hAnsiTheme="minorHAnsi" w:cs="Arial"/>
          <w:color w:val="000000"/>
        </w:rPr>
        <w:t>.</w:t>
      </w:r>
    </w:p>
    <w:p w:rsidR="007D274D" w:rsidRPr="007D274D" w:rsidRDefault="007D274D" w:rsidP="007D274D">
      <w:pPr>
        <w:widowControl w:val="0"/>
        <w:numPr>
          <w:ilvl w:val="0"/>
          <w:numId w:val="36"/>
        </w:numPr>
        <w:autoSpaceDE w:val="0"/>
        <w:autoSpaceDN w:val="0"/>
        <w:adjustRightInd w:val="0"/>
        <w:spacing w:after="100" w:afterAutospacing="1" w:line="360" w:lineRule="auto"/>
        <w:rPr>
          <w:rFonts w:asciiTheme="minorHAnsi" w:hAnsiTheme="minorHAnsi" w:cs="Arial"/>
          <w:b/>
          <w:color w:val="000000"/>
        </w:rPr>
      </w:pPr>
      <w:r w:rsidRPr="007D274D">
        <w:rPr>
          <w:rFonts w:asciiTheme="minorHAnsi" w:hAnsiTheme="minorHAnsi" w:cs="Arial"/>
          <w:color w:val="000000"/>
        </w:rPr>
        <w:t xml:space="preserve">Click the </w:t>
      </w:r>
      <w:r w:rsidRPr="007D274D">
        <w:rPr>
          <w:rFonts w:asciiTheme="minorHAnsi" w:hAnsiTheme="minorHAnsi" w:cs="Arial"/>
          <w:b/>
          <w:color w:val="000000"/>
        </w:rPr>
        <w:t>Find</w:t>
      </w:r>
      <w:r w:rsidRPr="007D274D">
        <w:rPr>
          <w:rFonts w:asciiTheme="minorHAnsi" w:hAnsiTheme="minorHAnsi" w:cs="Arial"/>
          <w:color w:val="000000"/>
        </w:rPr>
        <w:t xml:space="preserve"> button located by </w:t>
      </w:r>
      <w:r w:rsidRPr="007D274D">
        <w:rPr>
          <w:rFonts w:asciiTheme="minorHAnsi" w:hAnsiTheme="minorHAnsi" w:cs="Arial"/>
          <w:i/>
          <w:color w:val="000000"/>
        </w:rPr>
        <w:t>Service Delivery Location</w:t>
      </w:r>
      <w:r w:rsidRPr="007D274D">
        <w:rPr>
          <w:rFonts w:asciiTheme="minorHAnsi" w:hAnsiTheme="minorHAnsi" w:cs="Arial"/>
          <w:color w:val="000000"/>
        </w:rPr>
        <w:t xml:space="preserve"> and start to type the name of the SDL in the type ahead field. NOTE for 490 Hargrave the SDL location is </w:t>
      </w:r>
      <w:r w:rsidRPr="007D274D">
        <w:rPr>
          <w:rFonts w:asciiTheme="minorHAnsi" w:hAnsiTheme="minorHAnsi" w:cs="Arial"/>
          <w:b/>
          <w:color w:val="000000"/>
        </w:rPr>
        <w:t xml:space="preserve">“Winnipeg CD and </w:t>
      </w:r>
      <w:proofErr w:type="spellStart"/>
      <w:r w:rsidRPr="007D274D">
        <w:rPr>
          <w:rFonts w:asciiTheme="minorHAnsi" w:hAnsiTheme="minorHAnsi" w:cs="Arial"/>
          <w:b/>
          <w:color w:val="000000"/>
        </w:rPr>
        <w:t>Imms</w:t>
      </w:r>
      <w:proofErr w:type="spellEnd"/>
      <w:r w:rsidRPr="007D274D">
        <w:rPr>
          <w:rFonts w:asciiTheme="minorHAnsi" w:hAnsiTheme="minorHAnsi" w:cs="Arial"/>
          <w:b/>
          <w:color w:val="000000"/>
        </w:rPr>
        <w:t xml:space="preserve"> Office”</w:t>
      </w:r>
    </w:p>
    <w:p w:rsidR="007D274D" w:rsidRPr="007D274D" w:rsidRDefault="007D274D" w:rsidP="007D274D">
      <w:pPr>
        <w:widowControl w:val="0"/>
        <w:numPr>
          <w:ilvl w:val="0"/>
          <w:numId w:val="36"/>
        </w:numPr>
        <w:autoSpaceDE w:val="0"/>
        <w:autoSpaceDN w:val="0"/>
        <w:adjustRightInd w:val="0"/>
        <w:spacing w:after="100" w:afterAutospacing="1" w:line="360" w:lineRule="auto"/>
        <w:rPr>
          <w:rFonts w:asciiTheme="minorHAnsi" w:hAnsiTheme="minorHAnsi" w:cs="Arial"/>
          <w:color w:val="000000"/>
        </w:rPr>
      </w:pPr>
      <w:r w:rsidRPr="007D274D">
        <w:rPr>
          <w:rFonts w:asciiTheme="minorHAnsi" w:hAnsiTheme="minorHAnsi" w:cs="Arial"/>
          <w:color w:val="000000"/>
        </w:rPr>
        <w:t xml:space="preserve">Click </w:t>
      </w:r>
      <w:r w:rsidRPr="007D274D">
        <w:rPr>
          <w:rFonts w:asciiTheme="minorHAnsi" w:hAnsiTheme="minorHAnsi" w:cs="Arial"/>
          <w:b/>
          <w:color w:val="000000"/>
        </w:rPr>
        <w:t>Select.</w:t>
      </w:r>
      <w:r w:rsidRPr="007D274D">
        <w:rPr>
          <w:rFonts w:asciiTheme="minorHAnsi" w:hAnsiTheme="minorHAnsi" w:cs="Arial"/>
          <w:color w:val="000000"/>
        </w:rPr>
        <w:t xml:space="preserve"> </w:t>
      </w:r>
    </w:p>
    <w:p w:rsidR="007D274D" w:rsidRPr="007D274D" w:rsidRDefault="007D274D" w:rsidP="007D274D">
      <w:pPr>
        <w:widowControl w:val="0"/>
        <w:numPr>
          <w:ilvl w:val="0"/>
          <w:numId w:val="36"/>
        </w:numPr>
        <w:autoSpaceDE w:val="0"/>
        <w:autoSpaceDN w:val="0"/>
        <w:adjustRightInd w:val="0"/>
        <w:spacing w:after="100" w:afterAutospacing="1" w:line="360" w:lineRule="auto"/>
        <w:rPr>
          <w:rFonts w:asciiTheme="minorHAnsi" w:hAnsiTheme="minorHAnsi" w:cs="Arial"/>
          <w:color w:val="000000"/>
        </w:rPr>
      </w:pPr>
      <w:r w:rsidRPr="007D274D">
        <w:rPr>
          <w:rFonts w:asciiTheme="minorHAnsi" w:hAnsiTheme="minorHAnsi" w:cs="Arial"/>
          <w:color w:val="000000"/>
        </w:rPr>
        <w:t>Click the</w:t>
      </w:r>
      <w:r w:rsidRPr="007D274D">
        <w:rPr>
          <w:rFonts w:asciiTheme="minorHAnsi" w:hAnsiTheme="minorHAnsi" w:cs="Arial"/>
          <w:b/>
          <w:color w:val="000000"/>
        </w:rPr>
        <w:t xml:space="preserve"> Find</w:t>
      </w:r>
      <w:r w:rsidRPr="007D274D">
        <w:rPr>
          <w:rFonts w:asciiTheme="minorHAnsi" w:hAnsiTheme="minorHAnsi" w:cs="Arial"/>
          <w:color w:val="000000"/>
        </w:rPr>
        <w:t xml:space="preserve"> button located beside </w:t>
      </w:r>
      <w:r w:rsidRPr="007D274D">
        <w:rPr>
          <w:rFonts w:asciiTheme="minorHAnsi" w:hAnsiTheme="minorHAnsi" w:cs="Arial"/>
          <w:i/>
          <w:color w:val="000000"/>
        </w:rPr>
        <w:t>Provider</w:t>
      </w:r>
      <w:r w:rsidRPr="007D274D">
        <w:rPr>
          <w:rFonts w:asciiTheme="minorHAnsi" w:hAnsiTheme="minorHAnsi" w:cs="Arial"/>
          <w:color w:val="000000"/>
        </w:rPr>
        <w:t xml:space="preserve"> and start to type your last name in the type ahead field. Select yourself from the drop down field ( click</w:t>
      </w:r>
      <w:r w:rsidRPr="007D274D">
        <w:rPr>
          <w:rFonts w:asciiTheme="minorHAnsi" w:hAnsiTheme="minorHAnsi" w:cs="Arial"/>
          <w:b/>
          <w:color w:val="000000"/>
        </w:rPr>
        <w:t xml:space="preserve"> Select</w:t>
      </w:r>
      <w:r w:rsidRPr="007D274D">
        <w:rPr>
          <w:rFonts w:asciiTheme="minorHAnsi" w:hAnsiTheme="minorHAnsi" w:cs="Arial"/>
          <w:color w:val="000000"/>
        </w:rPr>
        <w:t xml:space="preserve">) </w:t>
      </w:r>
    </w:p>
    <w:p w:rsidR="007D274D" w:rsidRPr="007D274D" w:rsidRDefault="007D274D" w:rsidP="00E708A1">
      <w:pPr>
        <w:widowControl w:val="0"/>
        <w:numPr>
          <w:ilvl w:val="0"/>
          <w:numId w:val="36"/>
        </w:numPr>
        <w:autoSpaceDE w:val="0"/>
        <w:autoSpaceDN w:val="0"/>
        <w:adjustRightInd w:val="0"/>
        <w:spacing w:after="100" w:afterAutospacing="1" w:line="360" w:lineRule="auto"/>
        <w:rPr>
          <w:rFonts w:asciiTheme="minorHAnsi" w:hAnsiTheme="minorHAnsi" w:cs="Arial"/>
          <w:color w:val="000000"/>
        </w:rPr>
      </w:pPr>
      <w:r w:rsidRPr="007D274D">
        <w:rPr>
          <w:rFonts w:asciiTheme="minorHAnsi" w:hAnsiTheme="minorHAnsi" w:cs="Arial"/>
          <w:color w:val="000000"/>
        </w:rPr>
        <w:lastRenderedPageBreak/>
        <w:t xml:space="preserve">Select the </w:t>
      </w:r>
      <w:r w:rsidRPr="007D274D">
        <w:rPr>
          <w:rFonts w:asciiTheme="minorHAnsi" w:hAnsiTheme="minorHAnsi" w:cs="Arial"/>
          <w:b/>
          <w:color w:val="000000"/>
        </w:rPr>
        <w:t>“OP” Holding Point Location</w:t>
      </w:r>
      <w:r w:rsidRPr="007D274D">
        <w:rPr>
          <w:rFonts w:asciiTheme="minorHAnsi" w:hAnsiTheme="minorHAnsi" w:cs="Arial"/>
          <w:color w:val="000000"/>
        </w:rPr>
        <w:t xml:space="preserve"> from the drop down menu</w:t>
      </w:r>
      <w:r w:rsidR="00E708A1">
        <w:rPr>
          <w:rFonts w:asciiTheme="minorHAnsi" w:hAnsiTheme="minorHAnsi" w:cs="Arial"/>
          <w:color w:val="000000"/>
        </w:rPr>
        <w:t xml:space="preserve">. </w:t>
      </w:r>
      <w:r w:rsidRPr="007D274D">
        <w:rPr>
          <w:rFonts w:asciiTheme="minorHAnsi" w:hAnsiTheme="minorHAnsi" w:cs="Arial"/>
          <w:color w:val="000000"/>
        </w:rPr>
        <w:t xml:space="preserve"> NOTE for 490 Hargrave this will be 80088-OP.</w:t>
      </w:r>
    </w:p>
    <w:p w:rsidR="007D274D" w:rsidRPr="007D274D" w:rsidRDefault="007D274D" w:rsidP="007D274D">
      <w:pPr>
        <w:widowControl w:val="0"/>
        <w:numPr>
          <w:ilvl w:val="0"/>
          <w:numId w:val="36"/>
        </w:numPr>
        <w:autoSpaceDE w:val="0"/>
        <w:autoSpaceDN w:val="0"/>
        <w:adjustRightInd w:val="0"/>
        <w:spacing w:after="100" w:afterAutospacing="1" w:line="360" w:lineRule="auto"/>
        <w:rPr>
          <w:rFonts w:asciiTheme="minorHAnsi" w:hAnsiTheme="minorHAnsi" w:cs="Arial"/>
          <w:color w:val="000000"/>
        </w:rPr>
      </w:pPr>
      <w:r w:rsidRPr="007D274D">
        <w:rPr>
          <w:rFonts w:asciiTheme="minorHAnsi" w:hAnsiTheme="minorHAnsi" w:cs="Arial"/>
          <w:color w:val="000000"/>
        </w:rPr>
        <w:t xml:space="preserve">Click </w:t>
      </w:r>
      <w:r w:rsidRPr="007D274D">
        <w:rPr>
          <w:rFonts w:asciiTheme="minorHAnsi" w:hAnsiTheme="minorHAnsi" w:cs="Arial"/>
          <w:b/>
          <w:color w:val="000000"/>
        </w:rPr>
        <w:t>Save</w:t>
      </w:r>
      <w:r w:rsidRPr="007D274D">
        <w:rPr>
          <w:rFonts w:asciiTheme="minorHAnsi" w:hAnsiTheme="minorHAnsi" w:cs="Arial"/>
          <w:color w:val="000000"/>
        </w:rPr>
        <w:t xml:space="preserve"> </w:t>
      </w:r>
    </w:p>
    <w:p w:rsidR="007D274D" w:rsidRPr="00616E34" w:rsidRDefault="007D274D" w:rsidP="007D274D">
      <w:pPr>
        <w:widowControl w:val="0"/>
        <w:numPr>
          <w:ilvl w:val="0"/>
          <w:numId w:val="36"/>
        </w:numPr>
        <w:autoSpaceDE w:val="0"/>
        <w:autoSpaceDN w:val="0"/>
        <w:adjustRightInd w:val="0"/>
        <w:spacing w:before="20" w:after="100" w:afterAutospacing="1" w:line="280" w:lineRule="exact"/>
        <w:rPr>
          <w:rFonts w:asciiTheme="minorHAnsi" w:hAnsiTheme="minorHAnsi" w:cs="Arial"/>
          <w:color w:val="000000"/>
        </w:rPr>
      </w:pPr>
      <w:r w:rsidRPr="00616E34">
        <w:rPr>
          <w:rFonts w:asciiTheme="minorHAnsi" w:hAnsiTheme="minorHAnsi" w:cs="Arial"/>
          <w:color w:val="000000"/>
        </w:rPr>
        <w:t>Once vaccine is documented that you provided on weekend services follow</w:t>
      </w:r>
      <w:r w:rsidR="00616E34" w:rsidRPr="00616E34">
        <w:rPr>
          <w:rFonts w:asciiTheme="minorHAnsi" w:hAnsiTheme="minorHAnsi" w:cs="Arial"/>
          <w:color w:val="000000"/>
        </w:rPr>
        <w:t xml:space="preserve"> QRC 0.2 </w:t>
      </w:r>
      <w:r w:rsidRPr="00616E34">
        <w:rPr>
          <w:rFonts w:asciiTheme="minorHAnsi" w:hAnsiTheme="minorHAnsi" w:cs="Arial"/>
          <w:color w:val="000000"/>
        </w:rPr>
        <w:t xml:space="preserve"> to set your Immuniza</w:t>
      </w:r>
      <w:r w:rsidR="00616E34" w:rsidRPr="00616E34">
        <w:rPr>
          <w:rFonts w:asciiTheme="minorHAnsi" w:hAnsiTheme="minorHAnsi" w:cs="Arial"/>
          <w:color w:val="000000"/>
        </w:rPr>
        <w:t xml:space="preserve">tion Defaults back to your  public health office </w:t>
      </w:r>
      <w:r w:rsidRPr="00616E34">
        <w:rPr>
          <w:rFonts w:asciiTheme="minorHAnsi" w:hAnsiTheme="minorHAnsi" w:cs="Arial"/>
          <w:color w:val="000000"/>
        </w:rPr>
        <w:t xml:space="preserve"> settings.</w:t>
      </w:r>
    </w:p>
    <w:sectPr w:rsidR="007D274D" w:rsidRPr="00616E34" w:rsidSect="00804B7E">
      <w:headerReference w:type="default" r:id="rId18"/>
      <w:footerReference w:type="default" r:id="rId19"/>
      <w:headerReference w:type="first" r:id="rId20"/>
      <w:footerReference w:type="first" r:id="rId21"/>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ECD" w:rsidRDefault="00A04ECD" w:rsidP="004128AB">
      <w:pPr>
        <w:spacing w:after="0" w:line="240" w:lineRule="auto"/>
      </w:pPr>
      <w:r>
        <w:separator/>
      </w:r>
    </w:p>
  </w:endnote>
  <w:endnote w:type="continuationSeparator" w:id="0">
    <w:p w:rsidR="00A04ECD" w:rsidRDefault="00A04ECD" w:rsidP="0041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CD" w:rsidRDefault="00A04ECD" w:rsidP="008E53B0">
    <w:pPr>
      <w:pStyle w:val="Footer"/>
      <w:pBdr>
        <w:top w:val="thinThickSmallGap" w:sz="24" w:space="1" w:color="622423"/>
      </w:pBdr>
      <w:tabs>
        <w:tab w:val="clear" w:pos="4680"/>
      </w:tabs>
      <w:rPr>
        <w:rFonts w:ascii="Cambria" w:hAnsi="Cambria"/>
      </w:rPr>
    </w:pPr>
    <w:r>
      <w:rPr>
        <w:rFonts w:ascii="Cambria" w:hAnsi="Cambria"/>
      </w:rPr>
      <w:t xml:space="preserve">Updated: </w:t>
    </w:r>
    <w:r w:rsidR="00E708A1">
      <w:rPr>
        <w:rFonts w:ascii="Cambria" w:hAnsi="Cambria"/>
      </w:rPr>
      <w:t>November</w:t>
    </w:r>
    <w:r w:rsidR="00EB059D">
      <w:rPr>
        <w:rFonts w:ascii="Cambria" w:hAnsi="Cambria"/>
      </w:rPr>
      <w:t xml:space="preserve"> 2018</w:t>
    </w:r>
    <w:r>
      <w:rPr>
        <w:rFonts w:ascii="Cambria" w:hAnsi="Cambria"/>
      </w:rPr>
      <w:tab/>
      <w:t xml:space="preserve">Page </w:t>
    </w:r>
    <w:r w:rsidR="007B1B2D">
      <w:fldChar w:fldCharType="begin"/>
    </w:r>
    <w:r w:rsidR="007B1B2D">
      <w:instrText xml:space="preserve"> PAGE   \* MERGEFORMAT </w:instrText>
    </w:r>
    <w:r w:rsidR="007B1B2D">
      <w:fldChar w:fldCharType="separate"/>
    </w:r>
    <w:r w:rsidR="00B56DB6" w:rsidRPr="00B56DB6">
      <w:rPr>
        <w:rFonts w:ascii="Cambria" w:hAnsi="Cambria"/>
        <w:noProof/>
      </w:rPr>
      <w:t>7</w:t>
    </w:r>
    <w:r w:rsidR="007B1B2D">
      <w:rPr>
        <w:rFonts w:ascii="Cambria" w:hAnsi="Cambria"/>
        <w:noProof/>
      </w:rPr>
      <w:fldChar w:fldCharType="end"/>
    </w:r>
  </w:p>
  <w:p w:rsidR="00A04ECD" w:rsidRDefault="00A04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CD" w:rsidRDefault="00A04ECD" w:rsidP="008E53B0">
    <w:pPr>
      <w:pStyle w:val="Footer"/>
      <w:pBdr>
        <w:top w:val="thinThickSmallGap" w:sz="24" w:space="1" w:color="622423"/>
      </w:pBdr>
      <w:tabs>
        <w:tab w:val="clear" w:pos="4680"/>
      </w:tabs>
      <w:rPr>
        <w:rFonts w:ascii="Cambria" w:hAnsi="Cambria"/>
      </w:rPr>
    </w:pPr>
    <w:r>
      <w:rPr>
        <w:rFonts w:ascii="Cambria" w:hAnsi="Cambria"/>
      </w:rPr>
      <w:t>Updated</w:t>
    </w:r>
    <w:r w:rsidR="00EB059D">
      <w:rPr>
        <w:rFonts w:ascii="Cambria" w:hAnsi="Cambria"/>
      </w:rPr>
      <w:t xml:space="preserve"> June 2018</w:t>
    </w:r>
    <w:r>
      <w:rPr>
        <w:rFonts w:ascii="Cambria" w:hAnsi="Cambria"/>
      </w:rPr>
      <w:tab/>
      <w:t xml:space="preserve">Page </w:t>
    </w:r>
    <w:r w:rsidR="007B1B2D">
      <w:fldChar w:fldCharType="begin"/>
    </w:r>
    <w:r w:rsidR="007B1B2D">
      <w:instrText xml:space="preserve"> PAGE   \* MERGEFORMAT </w:instrText>
    </w:r>
    <w:r w:rsidR="007B1B2D">
      <w:fldChar w:fldCharType="separate"/>
    </w:r>
    <w:r w:rsidR="00B56DB6" w:rsidRPr="00B56DB6">
      <w:rPr>
        <w:rFonts w:ascii="Cambria" w:hAnsi="Cambria"/>
        <w:noProof/>
      </w:rPr>
      <w:t>1</w:t>
    </w:r>
    <w:r w:rsidR="007B1B2D">
      <w:rPr>
        <w:rFonts w:ascii="Cambria" w:hAnsi="Cambria"/>
        <w:noProof/>
      </w:rPr>
      <w:fldChar w:fldCharType="end"/>
    </w:r>
  </w:p>
  <w:p w:rsidR="00A04ECD" w:rsidRDefault="00A04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ECD" w:rsidRDefault="00A04ECD" w:rsidP="004128AB">
      <w:pPr>
        <w:spacing w:after="0" w:line="240" w:lineRule="auto"/>
      </w:pPr>
      <w:r>
        <w:separator/>
      </w:r>
    </w:p>
  </w:footnote>
  <w:footnote w:type="continuationSeparator" w:id="0">
    <w:p w:rsidR="00A04ECD" w:rsidRDefault="00A04ECD" w:rsidP="00412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CD" w:rsidRDefault="00A04ECD">
    <w:pPr>
      <w:pStyle w:val="Header"/>
      <w:tabs>
        <w:tab w:val="left" w:pos="2580"/>
        <w:tab w:val="left" w:pos="2985"/>
      </w:tabs>
      <w:spacing w:after="120" w:line="276" w:lineRule="auto"/>
      <w:jc w:val="right"/>
      <w:rPr>
        <w:b/>
        <w:bCs/>
        <w:color w:val="1F497D"/>
        <w:sz w:val="28"/>
        <w:szCs w:val="28"/>
      </w:rPr>
    </w:pPr>
    <w:r>
      <w:rPr>
        <w:b/>
        <w:bCs/>
        <w:color w:val="1F497D"/>
        <w:sz w:val="28"/>
        <w:szCs w:val="28"/>
      </w:rPr>
      <w:t>WRHA Weekend Services</w:t>
    </w:r>
  </w:p>
  <w:p w:rsidR="00A04ECD" w:rsidRDefault="00A04ECD">
    <w:pPr>
      <w:pStyle w:val="Header"/>
      <w:tabs>
        <w:tab w:val="left" w:pos="2580"/>
        <w:tab w:val="left" w:pos="2985"/>
      </w:tabs>
      <w:spacing w:after="120" w:line="276" w:lineRule="auto"/>
      <w:jc w:val="right"/>
      <w:rPr>
        <w:color w:val="4F81BD"/>
      </w:rPr>
    </w:pPr>
    <w:r>
      <w:rPr>
        <w:color w:val="4F81BD"/>
      </w:rPr>
      <w:t>Communicable Disease Procedure Manual</w:t>
    </w:r>
  </w:p>
  <w:p w:rsidR="00A04ECD" w:rsidRDefault="00A04ECD">
    <w:pPr>
      <w:pStyle w:val="Header"/>
      <w:pBdr>
        <w:bottom w:val="single" w:sz="4" w:space="1" w:color="A5A5A5"/>
      </w:pBdr>
      <w:tabs>
        <w:tab w:val="left" w:pos="2580"/>
        <w:tab w:val="left" w:pos="2985"/>
      </w:tabs>
      <w:spacing w:after="120" w:line="276" w:lineRule="auto"/>
      <w:jc w:val="right"/>
      <w:rPr>
        <w:color w:val="808080"/>
      </w:rPr>
    </w:pPr>
  </w:p>
  <w:p w:rsidR="00A04ECD" w:rsidRDefault="00A04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CD" w:rsidRDefault="00A04ECD">
    <w:pPr>
      <w:pStyle w:val="Header"/>
    </w:pPr>
    <w:r>
      <w:object w:dxaOrig="6385" w:dyaOrig="2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6pt;height:54pt" o:ole="" fillcolor="window">
          <v:imagedata r:id="rId1" o:title=""/>
        </v:shape>
        <o:OLEObject Type="Embed" ProgID="Word.Picture.8" ShapeID="_x0000_i1026" DrawAspect="Content" ObjectID="_160257706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
      </v:shape>
    </w:pict>
  </w:numPicBullet>
  <w:abstractNum w:abstractNumId="0">
    <w:nsid w:val="FFFFFF7C"/>
    <w:multiLevelType w:val="singleLevel"/>
    <w:tmpl w:val="227EB6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FC8D85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6C0494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42E957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6B8DC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12EA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726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B6CD1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4B028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C2D008"/>
    <w:lvl w:ilvl="0">
      <w:start w:val="1"/>
      <w:numFmt w:val="bullet"/>
      <w:lvlText w:val=""/>
      <w:lvlJc w:val="left"/>
      <w:pPr>
        <w:tabs>
          <w:tab w:val="num" w:pos="360"/>
        </w:tabs>
        <w:ind w:left="360" w:hanging="360"/>
      </w:pPr>
      <w:rPr>
        <w:rFonts w:ascii="Symbol" w:hAnsi="Symbol" w:hint="default"/>
      </w:rPr>
    </w:lvl>
  </w:abstractNum>
  <w:abstractNum w:abstractNumId="10">
    <w:nsid w:val="005E48A6"/>
    <w:multiLevelType w:val="hybridMultilevel"/>
    <w:tmpl w:val="B7060F10"/>
    <w:lvl w:ilvl="0" w:tplc="10090019">
      <w:start w:val="1"/>
      <w:numFmt w:val="lowerLetter"/>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1">
    <w:nsid w:val="09787F92"/>
    <w:multiLevelType w:val="hybridMultilevel"/>
    <w:tmpl w:val="B2D878D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9F94B64"/>
    <w:multiLevelType w:val="hybridMultilevel"/>
    <w:tmpl w:val="1D964688"/>
    <w:lvl w:ilvl="0" w:tplc="07B28F90">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0E586663"/>
    <w:multiLevelType w:val="multilevel"/>
    <w:tmpl w:val="10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8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4EB3791"/>
    <w:multiLevelType w:val="hybridMultilevel"/>
    <w:tmpl w:val="0C1259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314EB1"/>
    <w:multiLevelType w:val="multilevel"/>
    <w:tmpl w:val="42D8D0FC"/>
    <w:lvl w:ilvl="0">
      <w:start w:val="1"/>
      <w:numFmt w:val="decimal"/>
      <w:lvlText w:val="%1."/>
      <w:lvlJc w:val="left"/>
      <w:pPr>
        <w:ind w:left="360" w:hanging="360"/>
      </w:pPr>
      <w:rPr>
        <w:rFonts w:cs="Times New Roman"/>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ind w:left="18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08A7AB0"/>
    <w:multiLevelType w:val="multilevel"/>
    <w:tmpl w:val="10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8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84056C7"/>
    <w:multiLevelType w:val="hybridMultilevel"/>
    <w:tmpl w:val="98021B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AD1F26"/>
    <w:multiLevelType w:val="hybridMultilevel"/>
    <w:tmpl w:val="59EE9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DA31351"/>
    <w:multiLevelType w:val="hybridMultilevel"/>
    <w:tmpl w:val="D2D25320"/>
    <w:lvl w:ilvl="0" w:tplc="01AA312C">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31C1060F"/>
    <w:multiLevelType w:val="hybridMultilevel"/>
    <w:tmpl w:val="2668C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70962"/>
    <w:multiLevelType w:val="hybridMultilevel"/>
    <w:tmpl w:val="02BC56B8"/>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BF6961"/>
    <w:multiLevelType w:val="hybridMultilevel"/>
    <w:tmpl w:val="BDA02C6A"/>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BCC18E2"/>
    <w:multiLevelType w:val="hybridMultilevel"/>
    <w:tmpl w:val="9A5AF1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FDD2185"/>
    <w:multiLevelType w:val="hybridMultilevel"/>
    <w:tmpl w:val="C04E22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714D6B"/>
    <w:multiLevelType w:val="hybridMultilevel"/>
    <w:tmpl w:val="7E5AB5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857571"/>
    <w:multiLevelType w:val="hybridMultilevel"/>
    <w:tmpl w:val="D9F2CBA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6E310C5"/>
    <w:multiLevelType w:val="hybridMultilevel"/>
    <w:tmpl w:val="894A5C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915A30"/>
    <w:multiLevelType w:val="hybridMultilevel"/>
    <w:tmpl w:val="498C0460"/>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nsid w:val="5A507F78"/>
    <w:multiLevelType w:val="multilevel"/>
    <w:tmpl w:val="C9649B9C"/>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ind w:left="792" w:hanging="432"/>
      </w:pPr>
      <w:rPr>
        <w:rFonts w:cs="Times New Roman"/>
      </w:rPr>
    </w:lvl>
    <w:lvl w:ilvl="2">
      <w:start w:val="1"/>
      <w:numFmt w:val="decimal"/>
      <w:lvlText w:val="%1.%2.%3."/>
      <w:lvlJc w:val="left"/>
      <w:pPr>
        <w:ind w:left="18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3BA7A69"/>
    <w:multiLevelType w:val="hybridMultilevel"/>
    <w:tmpl w:val="E4869F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825D43"/>
    <w:multiLevelType w:val="hybridMultilevel"/>
    <w:tmpl w:val="502891A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2">
    <w:nsid w:val="771414B3"/>
    <w:multiLevelType w:val="hybridMultilevel"/>
    <w:tmpl w:val="8092EF46"/>
    <w:lvl w:ilvl="0" w:tplc="0409000F">
      <w:start w:val="1"/>
      <w:numFmt w:val="decimal"/>
      <w:lvlText w:val="%1."/>
      <w:lvlJc w:val="left"/>
      <w:pPr>
        <w:tabs>
          <w:tab w:val="num" w:pos="720"/>
        </w:tabs>
        <w:ind w:left="720" w:hanging="360"/>
      </w:pPr>
      <w:rPr>
        <w:rFonts w:cs="Times New Roman" w:hint="default"/>
      </w:rPr>
    </w:lvl>
    <w:lvl w:ilvl="1" w:tplc="F0E66ECA">
      <w:start w:val="1"/>
      <w:numFmt w:val="bullet"/>
      <w:lvlText w:val="-"/>
      <w:lvlJc w:val="left"/>
      <w:pPr>
        <w:tabs>
          <w:tab w:val="num" w:pos="1440"/>
        </w:tabs>
        <w:ind w:left="1440" w:hanging="360"/>
      </w:pPr>
      <w:rPr>
        <w:rFonts w:ascii="Calibri" w:eastAsia="Times New Roman" w:hAnsi="Calibri"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ED764A9"/>
    <w:multiLevelType w:val="hybridMultilevel"/>
    <w:tmpl w:val="A3207D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F367F40"/>
    <w:multiLevelType w:val="hybridMultilevel"/>
    <w:tmpl w:val="13B8CEDC"/>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5">
    <w:nsid w:val="7F497379"/>
    <w:multiLevelType w:val="hybridMultilevel"/>
    <w:tmpl w:val="ED3A88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4"/>
  </w:num>
  <w:num w:numId="3">
    <w:abstractNumId w:val="28"/>
  </w:num>
  <w:num w:numId="4">
    <w:abstractNumId w:val="18"/>
  </w:num>
  <w:num w:numId="5">
    <w:abstractNumId w:val="12"/>
  </w:num>
  <w:num w:numId="6">
    <w:abstractNumId w:val="10"/>
  </w:num>
  <w:num w:numId="7">
    <w:abstractNumId w:val="16"/>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2"/>
  </w:num>
  <w:num w:numId="20">
    <w:abstractNumId w:val="26"/>
  </w:num>
  <w:num w:numId="21">
    <w:abstractNumId w:val="13"/>
  </w:num>
  <w:num w:numId="22">
    <w:abstractNumId w:val="15"/>
  </w:num>
  <w:num w:numId="23">
    <w:abstractNumId w:val="35"/>
  </w:num>
  <w:num w:numId="24">
    <w:abstractNumId w:val="29"/>
  </w:num>
  <w:num w:numId="25">
    <w:abstractNumId w:val="25"/>
  </w:num>
  <w:num w:numId="26">
    <w:abstractNumId w:val="22"/>
  </w:num>
  <w:num w:numId="27">
    <w:abstractNumId w:val="17"/>
  </w:num>
  <w:num w:numId="28">
    <w:abstractNumId w:val="21"/>
  </w:num>
  <w:num w:numId="29">
    <w:abstractNumId w:val="14"/>
  </w:num>
  <w:num w:numId="30">
    <w:abstractNumId w:val="30"/>
  </w:num>
  <w:num w:numId="31">
    <w:abstractNumId w:val="27"/>
  </w:num>
  <w:num w:numId="32">
    <w:abstractNumId w:val="24"/>
  </w:num>
  <w:num w:numId="33">
    <w:abstractNumId w:val="11"/>
  </w:num>
  <w:num w:numId="34">
    <w:abstractNumId w:val="33"/>
  </w:num>
  <w:num w:numId="35">
    <w:abstractNumId w:val="2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A61"/>
    <w:rsid w:val="0002697C"/>
    <w:rsid w:val="00041107"/>
    <w:rsid w:val="00066D67"/>
    <w:rsid w:val="00094AB8"/>
    <w:rsid w:val="000A54F4"/>
    <w:rsid w:val="000B0FC8"/>
    <w:rsid w:val="000C2BB0"/>
    <w:rsid w:val="000C7900"/>
    <w:rsid w:val="000D579B"/>
    <w:rsid w:val="000E56CB"/>
    <w:rsid w:val="00106470"/>
    <w:rsid w:val="00115EB1"/>
    <w:rsid w:val="001200A9"/>
    <w:rsid w:val="001C33CB"/>
    <w:rsid w:val="001C7DA9"/>
    <w:rsid w:val="001D16F0"/>
    <w:rsid w:val="001E79E1"/>
    <w:rsid w:val="00207139"/>
    <w:rsid w:val="00212DBE"/>
    <w:rsid w:val="0022615F"/>
    <w:rsid w:val="002346B5"/>
    <w:rsid w:val="0023694F"/>
    <w:rsid w:val="0024297A"/>
    <w:rsid w:val="00280A5A"/>
    <w:rsid w:val="00290297"/>
    <w:rsid w:val="00292F93"/>
    <w:rsid w:val="002B3133"/>
    <w:rsid w:val="002C4B10"/>
    <w:rsid w:val="002D1FDA"/>
    <w:rsid w:val="002D63B3"/>
    <w:rsid w:val="002E46A9"/>
    <w:rsid w:val="00306A10"/>
    <w:rsid w:val="0031036E"/>
    <w:rsid w:val="00314D7F"/>
    <w:rsid w:val="00341A93"/>
    <w:rsid w:val="00360E24"/>
    <w:rsid w:val="003675DF"/>
    <w:rsid w:val="00373106"/>
    <w:rsid w:val="00373953"/>
    <w:rsid w:val="00393623"/>
    <w:rsid w:val="00395970"/>
    <w:rsid w:val="003A08B6"/>
    <w:rsid w:val="003B6B66"/>
    <w:rsid w:val="003B79C9"/>
    <w:rsid w:val="003C0A1D"/>
    <w:rsid w:val="003C4E41"/>
    <w:rsid w:val="00403326"/>
    <w:rsid w:val="004128AB"/>
    <w:rsid w:val="00443539"/>
    <w:rsid w:val="00451261"/>
    <w:rsid w:val="00476458"/>
    <w:rsid w:val="00491D7D"/>
    <w:rsid w:val="00496D11"/>
    <w:rsid w:val="004970E4"/>
    <w:rsid w:val="004A2AD5"/>
    <w:rsid w:val="004C1DC2"/>
    <w:rsid w:val="005108BE"/>
    <w:rsid w:val="00517BC5"/>
    <w:rsid w:val="0052409E"/>
    <w:rsid w:val="00530A2E"/>
    <w:rsid w:val="005317C7"/>
    <w:rsid w:val="00540EDC"/>
    <w:rsid w:val="005438A0"/>
    <w:rsid w:val="005637E8"/>
    <w:rsid w:val="00591E39"/>
    <w:rsid w:val="00593E8E"/>
    <w:rsid w:val="005A3D70"/>
    <w:rsid w:val="005C13F7"/>
    <w:rsid w:val="005E3C46"/>
    <w:rsid w:val="00604990"/>
    <w:rsid w:val="006117E7"/>
    <w:rsid w:val="00616E34"/>
    <w:rsid w:val="0062230E"/>
    <w:rsid w:val="00655E7F"/>
    <w:rsid w:val="00667F8C"/>
    <w:rsid w:val="00671789"/>
    <w:rsid w:val="00673127"/>
    <w:rsid w:val="006733E9"/>
    <w:rsid w:val="00683FA7"/>
    <w:rsid w:val="00692FDF"/>
    <w:rsid w:val="006C576F"/>
    <w:rsid w:val="006E18B8"/>
    <w:rsid w:val="006E3686"/>
    <w:rsid w:val="00715154"/>
    <w:rsid w:val="00731F8A"/>
    <w:rsid w:val="00740E61"/>
    <w:rsid w:val="00746FBD"/>
    <w:rsid w:val="00780107"/>
    <w:rsid w:val="00780C8B"/>
    <w:rsid w:val="007A4F14"/>
    <w:rsid w:val="007B1B2D"/>
    <w:rsid w:val="007C3EDD"/>
    <w:rsid w:val="007D0D03"/>
    <w:rsid w:val="007D274D"/>
    <w:rsid w:val="007D333E"/>
    <w:rsid w:val="007D468F"/>
    <w:rsid w:val="007F297C"/>
    <w:rsid w:val="007F509B"/>
    <w:rsid w:val="008032F9"/>
    <w:rsid w:val="00804B7E"/>
    <w:rsid w:val="00806766"/>
    <w:rsid w:val="00835547"/>
    <w:rsid w:val="00850D1F"/>
    <w:rsid w:val="008E53B0"/>
    <w:rsid w:val="008F72C4"/>
    <w:rsid w:val="00930708"/>
    <w:rsid w:val="00940DCB"/>
    <w:rsid w:val="009431C8"/>
    <w:rsid w:val="009476EA"/>
    <w:rsid w:val="00970244"/>
    <w:rsid w:val="009752CD"/>
    <w:rsid w:val="009826D9"/>
    <w:rsid w:val="0099096D"/>
    <w:rsid w:val="009D345D"/>
    <w:rsid w:val="009D52D7"/>
    <w:rsid w:val="00A04ECD"/>
    <w:rsid w:val="00A05C8D"/>
    <w:rsid w:val="00A132FC"/>
    <w:rsid w:val="00A2601B"/>
    <w:rsid w:val="00A70CA1"/>
    <w:rsid w:val="00A76148"/>
    <w:rsid w:val="00A77F9A"/>
    <w:rsid w:val="00AC0B74"/>
    <w:rsid w:val="00AE0FCF"/>
    <w:rsid w:val="00AF690B"/>
    <w:rsid w:val="00B16A61"/>
    <w:rsid w:val="00B24FD8"/>
    <w:rsid w:val="00B256DE"/>
    <w:rsid w:val="00B3234F"/>
    <w:rsid w:val="00B42C83"/>
    <w:rsid w:val="00B56DB6"/>
    <w:rsid w:val="00B6276A"/>
    <w:rsid w:val="00B700A8"/>
    <w:rsid w:val="00B72F8B"/>
    <w:rsid w:val="00BC4877"/>
    <w:rsid w:val="00BC684D"/>
    <w:rsid w:val="00C1476A"/>
    <w:rsid w:val="00C16B30"/>
    <w:rsid w:val="00C23691"/>
    <w:rsid w:val="00C37588"/>
    <w:rsid w:val="00C77A1F"/>
    <w:rsid w:val="00C77CAE"/>
    <w:rsid w:val="00C81E64"/>
    <w:rsid w:val="00CB5ABC"/>
    <w:rsid w:val="00CC25D5"/>
    <w:rsid w:val="00CD2E47"/>
    <w:rsid w:val="00CE21CD"/>
    <w:rsid w:val="00D03790"/>
    <w:rsid w:val="00D04437"/>
    <w:rsid w:val="00D2148A"/>
    <w:rsid w:val="00D43E15"/>
    <w:rsid w:val="00D52CB3"/>
    <w:rsid w:val="00D73666"/>
    <w:rsid w:val="00D767BA"/>
    <w:rsid w:val="00DA52A5"/>
    <w:rsid w:val="00DB5BAF"/>
    <w:rsid w:val="00DB7286"/>
    <w:rsid w:val="00DB7FE2"/>
    <w:rsid w:val="00DD62FA"/>
    <w:rsid w:val="00E12A9D"/>
    <w:rsid w:val="00E175D6"/>
    <w:rsid w:val="00E40B8A"/>
    <w:rsid w:val="00E610CE"/>
    <w:rsid w:val="00E6328F"/>
    <w:rsid w:val="00E63E75"/>
    <w:rsid w:val="00E708A1"/>
    <w:rsid w:val="00E73106"/>
    <w:rsid w:val="00E74135"/>
    <w:rsid w:val="00E85DB7"/>
    <w:rsid w:val="00EA1A10"/>
    <w:rsid w:val="00EA5868"/>
    <w:rsid w:val="00EA5C5B"/>
    <w:rsid w:val="00EB059D"/>
    <w:rsid w:val="00F402CB"/>
    <w:rsid w:val="00F61134"/>
    <w:rsid w:val="00F91103"/>
    <w:rsid w:val="00F95265"/>
    <w:rsid w:val="00FA1540"/>
    <w:rsid w:val="00FA1ECB"/>
    <w:rsid w:val="00FE2E1C"/>
    <w:rsid w:val="00FF069A"/>
    <w:rsid w:val="00FF355B"/>
    <w:rsid w:val="00FF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35547"/>
    <w:pPr>
      <w:spacing w:after="200" w:line="276" w:lineRule="auto"/>
    </w:pPr>
    <w:rPr>
      <w:lang w:val="en-CA"/>
    </w:rPr>
  </w:style>
  <w:style w:type="paragraph" w:styleId="Heading1">
    <w:name w:val="heading 1"/>
    <w:basedOn w:val="Normal"/>
    <w:next w:val="Normal"/>
    <w:link w:val="Heading1Char"/>
    <w:uiPriority w:val="99"/>
    <w:qFormat/>
    <w:rsid w:val="004128A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14D7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28A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14D7F"/>
    <w:rPr>
      <w:rFonts w:ascii="Cambria" w:hAnsi="Cambria" w:cs="Times New Roman"/>
      <w:b/>
      <w:bCs/>
      <w:color w:val="4F81BD"/>
      <w:sz w:val="26"/>
      <w:szCs w:val="26"/>
    </w:rPr>
  </w:style>
  <w:style w:type="paragraph" w:styleId="TOCHeading">
    <w:name w:val="TOC Heading"/>
    <w:basedOn w:val="Heading1"/>
    <w:next w:val="Normal"/>
    <w:uiPriority w:val="99"/>
    <w:qFormat/>
    <w:rsid w:val="004128AB"/>
    <w:pPr>
      <w:outlineLvl w:val="9"/>
    </w:pPr>
    <w:rPr>
      <w:lang w:val="en-US"/>
    </w:rPr>
  </w:style>
  <w:style w:type="paragraph" w:styleId="BalloonText">
    <w:name w:val="Balloon Text"/>
    <w:basedOn w:val="Normal"/>
    <w:link w:val="BalloonTextChar"/>
    <w:uiPriority w:val="99"/>
    <w:semiHidden/>
    <w:rsid w:val="00412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28AB"/>
    <w:rPr>
      <w:rFonts w:ascii="Tahoma" w:hAnsi="Tahoma" w:cs="Tahoma"/>
      <w:sz w:val="16"/>
      <w:szCs w:val="16"/>
    </w:rPr>
  </w:style>
  <w:style w:type="paragraph" w:styleId="TOC1">
    <w:name w:val="toc 1"/>
    <w:basedOn w:val="Normal"/>
    <w:next w:val="Normal"/>
    <w:autoRedefine/>
    <w:uiPriority w:val="99"/>
    <w:rsid w:val="004128AB"/>
    <w:pPr>
      <w:spacing w:after="100"/>
    </w:pPr>
  </w:style>
  <w:style w:type="character" w:styleId="Hyperlink">
    <w:name w:val="Hyperlink"/>
    <w:basedOn w:val="DefaultParagraphFont"/>
    <w:uiPriority w:val="99"/>
    <w:rsid w:val="004128AB"/>
    <w:rPr>
      <w:rFonts w:cs="Times New Roman"/>
      <w:color w:val="0000FF"/>
      <w:u w:val="single"/>
    </w:rPr>
  </w:style>
  <w:style w:type="paragraph" w:styleId="NoSpacing">
    <w:name w:val="No Spacing"/>
    <w:link w:val="NoSpacingChar"/>
    <w:uiPriority w:val="99"/>
    <w:qFormat/>
    <w:rsid w:val="004128AB"/>
    <w:rPr>
      <w:rFonts w:eastAsia="Times New Roman"/>
    </w:rPr>
  </w:style>
  <w:style w:type="character" w:customStyle="1" w:styleId="NoSpacingChar">
    <w:name w:val="No Spacing Char"/>
    <w:basedOn w:val="DefaultParagraphFont"/>
    <w:link w:val="NoSpacing"/>
    <w:uiPriority w:val="99"/>
    <w:locked/>
    <w:rsid w:val="004128AB"/>
    <w:rPr>
      <w:rFonts w:eastAsia="Times New Roman" w:cs="Times New Roman"/>
      <w:sz w:val="22"/>
      <w:szCs w:val="22"/>
      <w:lang w:val="en-US" w:eastAsia="en-US" w:bidi="ar-SA"/>
    </w:rPr>
  </w:style>
  <w:style w:type="paragraph" w:styleId="Header">
    <w:name w:val="header"/>
    <w:basedOn w:val="Normal"/>
    <w:link w:val="HeaderChar"/>
    <w:uiPriority w:val="99"/>
    <w:rsid w:val="004128A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128AB"/>
    <w:rPr>
      <w:rFonts w:cs="Times New Roman"/>
    </w:rPr>
  </w:style>
  <w:style w:type="paragraph" w:styleId="Footer">
    <w:name w:val="footer"/>
    <w:basedOn w:val="Normal"/>
    <w:link w:val="FooterChar"/>
    <w:uiPriority w:val="99"/>
    <w:rsid w:val="004128A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128AB"/>
    <w:rPr>
      <w:rFonts w:cs="Times New Roman"/>
    </w:rPr>
  </w:style>
  <w:style w:type="table" w:styleId="TableGrid">
    <w:name w:val="Table Grid"/>
    <w:basedOn w:val="TableNormal"/>
    <w:uiPriority w:val="99"/>
    <w:rsid w:val="00746FBD"/>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1036E"/>
    <w:pPr>
      <w:ind w:left="720"/>
      <w:contextualSpacing/>
    </w:pPr>
  </w:style>
  <w:style w:type="paragraph" w:styleId="TOC2">
    <w:name w:val="toc 2"/>
    <w:basedOn w:val="Normal"/>
    <w:next w:val="Normal"/>
    <w:autoRedefine/>
    <w:uiPriority w:val="99"/>
    <w:rsid w:val="003B6B66"/>
    <w:pPr>
      <w:spacing w:after="100"/>
      <w:ind w:left="220"/>
    </w:pPr>
  </w:style>
  <w:style w:type="character" w:styleId="CommentReference">
    <w:name w:val="annotation reference"/>
    <w:basedOn w:val="DefaultParagraphFont"/>
    <w:uiPriority w:val="99"/>
    <w:semiHidden/>
    <w:rsid w:val="00A77F9A"/>
    <w:rPr>
      <w:rFonts w:cs="Times New Roman"/>
      <w:sz w:val="16"/>
      <w:szCs w:val="16"/>
    </w:rPr>
  </w:style>
  <w:style w:type="paragraph" w:styleId="CommentText">
    <w:name w:val="annotation text"/>
    <w:basedOn w:val="Normal"/>
    <w:link w:val="CommentTextChar"/>
    <w:uiPriority w:val="99"/>
    <w:semiHidden/>
    <w:rsid w:val="00A77F9A"/>
    <w:rPr>
      <w:sz w:val="20"/>
      <w:szCs w:val="20"/>
    </w:rPr>
  </w:style>
  <w:style w:type="character" w:customStyle="1" w:styleId="CommentTextChar">
    <w:name w:val="Comment Text Char"/>
    <w:basedOn w:val="DefaultParagraphFont"/>
    <w:link w:val="CommentText"/>
    <w:uiPriority w:val="99"/>
    <w:semiHidden/>
    <w:locked/>
    <w:rsid w:val="00CE21CD"/>
    <w:rPr>
      <w:rFonts w:cs="Times New Roman"/>
      <w:sz w:val="20"/>
      <w:szCs w:val="20"/>
      <w:lang w:val="en-CA"/>
    </w:rPr>
  </w:style>
  <w:style w:type="paragraph" w:styleId="CommentSubject">
    <w:name w:val="annotation subject"/>
    <w:basedOn w:val="CommentText"/>
    <w:next w:val="CommentText"/>
    <w:link w:val="CommentSubjectChar"/>
    <w:uiPriority w:val="99"/>
    <w:semiHidden/>
    <w:rsid w:val="00A77F9A"/>
    <w:rPr>
      <w:b/>
      <w:bCs/>
    </w:rPr>
  </w:style>
  <w:style w:type="character" w:customStyle="1" w:styleId="CommentSubjectChar">
    <w:name w:val="Comment Subject Char"/>
    <w:basedOn w:val="CommentTextChar"/>
    <w:link w:val="CommentSubject"/>
    <w:uiPriority w:val="99"/>
    <w:semiHidden/>
    <w:locked/>
    <w:rsid w:val="00CE21CD"/>
    <w:rPr>
      <w:rFonts w:cs="Times New Roman"/>
      <w:b/>
      <w:bCs/>
      <w:sz w:val="20"/>
      <w:szCs w:val="20"/>
      <w:lang w:val="en-CA"/>
    </w:rPr>
  </w:style>
  <w:style w:type="character" w:styleId="FollowedHyperlink">
    <w:name w:val="FollowedHyperlink"/>
    <w:basedOn w:val="DefaultParagraphFont"/>
    <w:uiPriority w:val="99"/>
    <w:rsid w:val="002346B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mb.ca/health/publichealth/cdc/div/info.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home.wrha.mb.ca/prog/pph/files/weekendPHNSeatingchart.pdf" TargetMode="External"/><Relationship Id="rId17" Type="http://schemas.openxmlformats.org/officeDocument/2006/relationships/hyperlink" Target="https://panorama.manitoba-ehealth.ca/" TargetMode="External"/><Relationship Id="rId2" Type="http://schemas.openxmlformats.org/officeDocument/2006/relationships/numbering" Target="numbering.xml"/><Relationship Id="rId16" Type="http://schemas.openxmlformats.org/officeDocument/2006/relationships/hyperlink" Target="http://iphis.manitoba-ehealth.ca/phis/start.j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mb.ca/health/publichealth/cdc/div/info.html" TargetMode="External"/><Relationship Id="rId5" Type="http://schemas.openxmlformats.org/officeDocument/2006/relationships/settings" Target="settings.xml"/><Relationship Id="rId15" Type="http://schemas.openxmlformats.org/officeDocument/2006/relationships/hyperlink" Target="http://www.gov.mb.ca/health/publichealth/cdc/div/vaccines.html" TargetMode="External"/><Relationship Id="rId23" Type="http://schemas.openxmlformats.org/officeDocument/2006/relationships/theme" Target="theme/theme1.xml"/><Relationship Id="rId10" Type="http://schemas.openxmlformats.org/officeDocument/2006/relationships/hyperlink" Target="http://www.wrha.mb.ca/extranet/publichealth/services-communicable-disease.ph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v.mb.ca/health/publichealth/cdc/protocol/index.html" TargetMode="External"/><Relationship Id="rId14" Type="http://schemas.openxmlformats.org/officeDocument/2006/relationships/hyperlink" Target="http://www.wrha.mb.ca/professionals/immunization/03-04.php"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69675-19C9-401E-AB59-D775E10A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WRHA Weekend Services</vt:lpstr>
    </vt:vector>
  </TitlesOfParts>
  <Company>Winnipeg Regional Health Authority</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WRHA Weekend Services</dc:title>
  <dc:subject>Communicable Disease Procedure Manual</dc:subject>
  <dc:creator>Cheryl</dc:creator>
  <cp:keywords/>
  <dc:description/>
  <cp:lastModifiedBy>Lynn Klassen Semeniuk</cp:lastModifiedBy>
  <cp:revision>17</cp:revision>
  <cp:lastPrinted>2013-08-02T14:40:00Z</cp:lastPrinted>
  <dcterms:created xsi:type="dcterms:W3CDTF">2013-07-11T22:08:00Z</dcterms:created>
  <dcterms:modified xsi:type="dcterms:W3CDTF">2018-11-01T16:31:00Z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1941921472</vt:i4>
  </property>
  <property fmtid="{D5CDD505-2E9C-101B-9397-08002B2CF9AE}" pid="3" name="_NewReviewCycle">
    <vt:lpwstr/>
  </property>
  <property fmtid="{D5CDD505-2E9C-101B-9397-08002B2CF9AE}" pid="4" name="_EmailSubject">
    <vt:lpwstr>revisions needed for teh WRAH Weekend Services Communicable Dx Procedure Manual </vt:lpwstr>
  </property>
  <property fmtid="{D5CDD505-2E9C-101B-9397-08002B2CF9AE}" pid="5" name="_AuthorEmail">
    <vt:lpwstr>ccusack@wrha.mb.ca</vt:lpwstr>
  </property>
  <property fmtid="{D5CDD505-2E9C-101B-9397-08002B2CF9AE}" pid="6" name="_AuthorEmailDisplayName">
    <vt:lpwstr>Cheryl Cusack</vt:lpwstr>
  </property>
  <property fmtid="{D5CDD505-2E9C-101B-9397-08002B2CF9AE}" pid="7" name="_ReviewingToolsShownOnce">
    <vt:lpwstr/>
  </property>
</Properties>
</file>